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12014" w14:textId="77777777" w:rsidR="00817793" w:rsidRDefault="002719FC">
      <w:r>
        <w:rPr>
          <w:noProof/>
        </w:rPr>
        <w:drawing>
          <wp:anchor distT="0" distB="0" distL="0" distR="0" simplePos="0" relativeHeight="251658240" behindDoc="1" locked="0" layoutInCell="1" hidden="0" allowOverlap="1" wp14:anchorId="79E3D631" wp14:editId="07777777">
            <wp:simplePos x="0" y="0"/>
            <wp:positionH relativeFrom="column">
              <wp:posOffset>177800</wp:posOffset>
            </wp:positionH>
            <wp:positionV relativeFrom="paragraph">
              <wp:posOffset>-231774</wp:posOffset>
            </wp:positionV>
            <wp:extent cx="5581650" cy="9010650"/>
            <wp:effectExtent l="0" t="0" r="0" b="0"/>
            <wp:wrapNone/>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l="20444" t="5304" r="4970" b="5781"/>
                    <a:stretch>
                      <a:fillRect/>
                    </a:stretch>
                  </pic:blipFill>
                  <pic:spPr>
                    <a:xfrm>
                      <a:off x="0" y="0"/>
                      <a:ext cx="5581650" cy="9010650"/>
                    </a:xfrm>
                    <a:prstGeom prst="rect">
                      <a:avLst/>
                    </a:prstGeom>
                    <a:ln/>
                  </pic:spPr>
                </pic:pic>
              </a:graphicData>
            </a:graphic>
          </wp:anchor>
        </w:drawing>
      </w:r>
      <w:r>
        <w:rPr>
          <w:noProof/>
        </w:rPr>
        <mc:AlternateContent>
          <mc:Choice Requires="wps">
            <w:drawing>
              <wp:anchor distT="0" distB="0" distL="114300" distR="114300" simplePos="0" relativeHeight="251658241" behindDoc="0" locked="0" layoutInCell="1" hidden="0" allowOverlap="1" wp14:anchorId="3C0598D2" wp14:editId="07777777">
                <wp:simplePos x="0" y="0"/>
                <wp:positionH relativeFrom="column">
                  <wp:posOffset>366712</wp:posOffset>
                </wp:positionH>
                <wp:positionV relativeFrom="paragraph">
                  <wp:posOffset>123825</wp:posOffset>
                </wp:positionV>
                <wp:extent cx="5210175" cy="7549049"/>
                <wp:effectExtent l="0" t="0" r="0" b="0"/>
                <wp:wrapNone/>
                <wp:docPr id="2" name="Forma Livre: Forma 2"/>
                <wp:cNvGraphicFramePr/>
                <a:graphic xmlns:a="http://schemas.openxmlformats.org/drawingml/2006/main">
                  <a:graphicData uri="http://schemas.microsoft.com/office/word/2010/wordprocessingShape">
                    <wps:wsp>
                      <wps:cNvSpPr/>
                      <wps:spPr>
                        <a:xfrm>
                          <a:off x="2745675" y="0"/>
                          <a:ext cx="5200650" cy="7560000"/>
                        </a:xfrm>
                        <a:custGeom>
                          <a:avLst/>
                          <a:gdLst/>
                          <a:ahLst/>
                          <a:cxnLst/>
                          <a:rect l="l" t="t" r="r" b="b"/>
                          <a:pathLst>
                            <a:path w="5200650" h="7587615" extrusionOk="0">
                              <a:moveTo>
                                <a:pt x="0" y="0"/>
                              </a:moveTo>
                              <a:lnTo>
                                <a:pt x="0" y="7587615"/>
                              </a:lnTo>
                              <a:lnTo>
                                <a:pt x="5200650" y="7587615"/>
                              </a:lnTo>
                              <a:lnTo>
                                <a:pt x="5200650" y="0"/>
                              </a:lnTo>
                              <a:close/>
                            </a:path>
                          </a:pathLst>
                        </a:custGeom>
                        <a:noFill/>
                        <a:ln>
                          <a:noFill/>
                        </a:ln>
                      </wps:spPr>
                      <wps:txbx>
                        <w:txbxContent>
                          <w:p w14:paraId="79FEF686" w14:textId="77777777" w:rsidR="00817793" w:rsidRDefault="002719FC">
                            <w:pPr>
                              <w:spacing w:before="0" w:after="0" w:line="240" w:lineRule="auto"/>
                              <w:jc w:val="center"/>
                              <w:textDirection w:val="btLr"/>
                            </w:pPr>
                            <w:r>
                              <w:rPr>
                                <w:color w:val="000000"/>
                                <w:sz w:val="52"/>
                              </w:rPr>
                              <w:t>Relatório de Análise Crítica</w:t>
                            </w:r>
                          </w:p>
                          <w:p w14:paraId="50A5EE40" w14:textId="77777777" w:rsidR="00817793" w:rsidRDefault="002719FC">
                            <w:pPr>
                              <w:spacing w:before="0" w:after="0" w:line="240" w:lineRule="auto"/>
                              <w:jc w:val="center"/>
                              <w:textDirection w:val="btLr"/>
                            </w:pPr>
                            <w:r>
                              <w:rPr>
                                <w:color w:val="000000"/>
                                <w:sz w:val="32"/>
                              </w:rPr>
                              <w:t>Proposta de Atualização do Rol de Procedimentos e Eventos em Saúde</w:t>
                            </w:r>
                          </w:p>
                          <w:p w14:paraId="672A6659" w14:textId="77777777" w:rsidR="00817793" w:rsidRDefault="00817793">
                            <w:pPr>
                              <w:textDirection w:val="btLr"/>
                            </w:pPr>
                          </w:p>
                          <w:p w14:paraId="49044284" w14:textId="77777777" w:rsidR="00817793" w:rsidRDefault="002719FC">
                            <w:pPr>
                              <w:spacing w:line="240" w:lineRule="auto"/>
                              <w:jc w:val="center"/>
                              <w:textDirection w:val="btLr"/>
                            </w:pPr>
                            <w:proofErr w:type="spellStart"/>
                            <w:r>
                              <w:rPr>
                                <w:color w:val="44546A"/>
                                <w:sz w:val="40"/>
                              </w:rPr>
                              <w:t>Anifrolumabe</w:t>
                            </w:r>
                            <w:proofErr w:type="spellEnd"/>
                            <w:r>
                              <w:rPr>
                                <w:color w:val="44546A"/>
                                <w:sz w:val="40"/>
                              </w:rPr>
                              <w:t xml:space="preserve"> para tratamento do </w:t>
                            </w:r>
                            <w:proofErr w:type="spellStart"/>
                            <w:r>
                              <w:rPr>
                                <w:color w:val="44546A"/>
                                <w:sz w:val="40"/>
                              </w:rPr>
                              <w:t>Lupus</w:t>
                            </w:r>
                            <w:proofErr w:type="spellEnd"/>
                            <w:r>
                              <w:rPr>
                                <w:color w:val="44546A"/>
                                <w:sz w:val="40"/>
                              </w:rPr>
                              <w:t xml:space="preserve"> eritematoso sistêmico (LES) com moderada a alta atividade e falha à terapia tripla com hidroxicloroquina + corticosteroide + imunossupressor</w:t>
                            </w:r>
                          </w:p>
                          <w:p w14:paraId="0A37501D" w14:textId="77777777" w:rsidR="00817793" w:rsidRDefault="00817793">
                            <w:pPr>
                              <w:spacing w:line="240" w:lineRule="auto"/>
                              <w:jc w:val="center"/>
                              <w:textDirection w:val="btLr"/>
                            </w:pPr>
                          </w:p>
                          <w:p w14:paraId="5DAB6C7B" w14:textId="77777777" w:rsidR="00817793" w:rsidRDefault="00817793">
                            <w:pPr>
                              <w:textDirection w:val="btLr"/>
                            </w:pPr>
                          </w:p>
                          <w:p w14:paraId="02EB378F" w14:textId="77777777" w:rsidR="00817793" w:rsidRDefault="00817793">
                            <w:pPr>
                              <w:textDirection w:val="btLr"/>
                            </w:pPr>
                          </w:p>
                        </w:txbxContent>
                      </wps:txbx>
                      <wps:bodyPr spcFirstLastPara="1" wrap="square" lIns="88900" tIns="38100" rIns="88900" bIns="38100" anchor="t" anchorCtr="0">
                        <a:noAutofit/>
                      </wps:bodyPr>
                    </wps:wsp>
                  </a:graphicData>
                </a:graphic>
              </wp:anchor>
            </w:drawing>
          </mc:Choice>
          <mc:Fallback>
            <w:pict>
              <v:shape w14:anchorId="3C0598D2" id="Forma Livre: Forma 2" o:spid="_x0000_s1026" style="position:absolute;left:0;text-align:left;margin-left:28.85pt;margin-top:9.75pt;width:410.25pt;height:594.4pt;z-index:251658241;visibility:visible;mso-wrap-style:square;mso-wrap-distance-left:9pt;mso-wrap-distance-top:0;mso-wrap-distance-right:9pt;mso-wrap-distance-bottom:0;mso-position-horizontal:absolute;mso-position-horizontal-relative:text;mso-position-vertical:absolute;mso-position-vertical-relative:text;v-text-anchor:top" coordsize="5200650,75876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" adj="-11796480,,5400" path="m,l,7587615r5200650,l5200650,,,xe" filled="f" stroked="f">
                <v:stroke joinstyle="miter"/>
                <v:formulas/>
                <v:path arrowok="t" o:extrusionok="f" o:connecttype="custom" textboxrect="0,0,5200650,7587615"/>
                <v:textbox inset="7pt,3pt,7pt,3pt">
                  <w:txbxContent>
                    <w:p w14:paraId="79FEF686" w14:textId="77777777" w:rsidR="00817793" w:rsidRDefault="002719FC">
                      <w:pPr>
                        <w:spacing w:before="0" w:after="0" w:line="240" w:lineRule="auto"/>
                        <w:jc w:val="center"/>
                        <w:textDirection w:val="btLr"/>
                      </w:pPr>
                      <w:r>
                        <w:rPr>
                          <w:color w:val="000000"/>
                          <w:sz w:val="52"/>
                        </w:rPr>
                        <w:t>Relatório de Análise Crítica</w:t>
                      </w:r>
                    </w:p>
                    <w:p w14:paraId="50A5EE40" w14:textId="77777777" w:rsidR="00817793" w:rsidRDefault="002719FC">
                      <w:pPr>
                        <w:spacing w:before="0" w:after="0" w:line="240" w:lineRule="auto"/>
                        <w:jc w:val="center"/>
                        <w:textDirection w:val="btLr"/>
                      </w:pPr>
                      <w:r>
                        <w:rPr>
                          <w:color w:val="000000"/>
                          <w:sz w:val="32"/>
                        </w:rPr>
                        <w:t>Proposta de Atualização do Rol de Procedimentos e Eventos em Saúde</w:t>
                      </w:r>
                    </w:p>
                    <w:p w14:paraId="672A6659" w14:textId="77777777" w:rsidR="00817793" w:rsidRDefault="00817793">
                      <w:pPr>
                        <w:textDirection w:val="btLr"/>
                      </w:pPr>
                    </w:p>
                    <w:p w14:paraId="49044284" w14:textId="77777777" w:rsidR="00817793" w:rsidRDefault="002719FC">
                      <w:pPr>
                        <w:spacing w:line="240" w:lineRule="auto"/>
                        <w:jc w:val="center"/>
                        <w:textDirection w:val="btLr"/>
                      </w:pPr>
                      <w:proofErr w:type="spellStart"/>
                      <w:r>
                        <w:rPr>
                          <w:color w:val="44546A"/>
                          <w:sz w:val="40"/>
                        </w:rPr>
                        <w:t>Anifrolumabe</w:t>
                      </w:r>
                      <w:proofErr w:type="spellEnd"/>
                      <w:r>
                        <w:rPr>
                          <w:color w:val="44546A"/>
                          <w:sz w:val="40"/>
                        </w:rPr>
                        <w:t xml:space="preserve"> para tratamento do </w:t>
                      </w:r>
                      <w:proofErr w:type="spellStart"/>
                      <w:r>
                        <w:rPr>
                          <w:color w:val="44546A"/>
                          <w:sz w:val="40"/>
                        </w:rPr>
                        <w:t>Lupus</w:t>
                      </w:r>
                      <w:proofErr w:type="spellEnd"/>
                      <w:r>
                        <w:rPr>
                          <w:color w:val="44546A"/>
                          <w:sz w:val="40"/>
                        </w:rPr>
                        <w:t xml:space="preserve"> eritematoso sistêmico (LES) com moderada a alta atividade e falha à terapia tripla com hidroxicloroquina + corticosteroide + imunossupressor</w:t>
                      </w:r>
                    </w:p>
                    <w:p w14:paraId="0A37501D" w14:textId="77777777" w:rsidR="00817793" w:rsidRDefault="00817793">
                      <w:pPr>
                        <w:spacing w:line="240" w:lineRule="auto"/>
                        <w:jc w:val="center"/>
                        <w:textDirection w:val="btLr"/>
                      </w:pPr>
                    </w:p>
                    <w:p w14:paraId="5DAB6C7B" w14:textId="77777777" w:rsidR="00817793" w:rsidRDefault="00817793">
                      <w:pPr>
                        <w:textDirection w:val="btLr"/>
                      </w:pPr>
                    </w:p>
                    <w:p w14:paraId="02EB378F" w14:textId="77777777" w:rsidR="00817793" w:rsidRDefault="00817793">
                      <w:pPr>
                        <w:textDirection w:val="btLr"/>
                      </w:pPr>
                    </w:p>
                  </w:txbxContent>
                </v:textbox>
              </v:shape>
            </w:pict>
          </mc:Fallback>
        </mc:AlternateContent>
      </w:r>
    </w:p>
    <w:p w14:paraId="0D0B940D" w14:textId="77777777" w:rsidR="00817793" w:rsidRDefault="00817793"/>
    <w:p w14:paraId="0E27B00A" w14:textId="77777777" w:rsidR="00817793" w:rsidRDefault="00817793"/>
    <w:p w14:paraId="60061E4C" w14:textId="77777777" w:rsidR="00817793" w:rsidRDefault="00817793"/>
    <w:p w14:paraId="44EAFD9C" w14:textId="77777777" w:rsidR="00817793" w:rsidRDefault="00817793"/>
    <w:p w14:paraId="4B94D5A5" w14:textId="77777777" w:rsidR="00817793" w:rsidRDefault="00817793"/>
    <w:p w14:paraId="3DEEC669" w14:textId="77777777" w:rsidR="00817793" w:rsidRDefault="00817793"/>
    <w:p w14:paraId="3656B9AB" w14:textId="77777777" w:rsidR="00817793" w:rsidRDefault="00817793"/>
    <w:p w14:paraId="45FB0818" w14:textId="77777777" w:rsidR="00817793" w:rsidRDefault="00817793"/>
    <w:p w14:paraId="049F31CB" w14:textId="77777777" w:rsidR="00817793" w:rsidRDefault="00817793"/>
    <w:p w14:paraId="53128261" w14:textId="77777777" w:rsidR="00817793" w:rsidRDefault="00817793"/>
    <w:p w14:paraId="62486C05" w14:textId="77777777" w:rsidR="00817793" w:rsidRDefault="00817793"/>
    <w:p w14:paraId="4101652C" w14:textId="77777777" w:rsidR="00817793" w:rsidRDefault="00817793"/>
    <w:p w14:paraId="4B99056E" w14:textId="77777777" w:rsidR="00817793" w:rsidRDefault="00817793"/>
    <w:p w14:paraId="0562CB0E" w14:textId="77777777" w:rsidR="00817793" w:rsidRDefault="00817793">
      <w:pPr>
        <w:sectPr w:rsidR="00817793">
          <w:headerReference w:type="default" r:id="rId11"/>
          <w:headerReference w:type="first" r:id="rId12"/>
          <w:pgSz w:w="11906" w:h="16838"/>
          <w:pgMar w:top="2115" w:right="1418" w:bottom="1134" w:left="1418" w:header="709" w:footer="709" w:gutter="0"/>
          <w:pgNumType w:start="5"/>
          <w:cols w:space="720"/>
        </w:sectPr>
      </w:pPr>
    </w:p>
    <w:p w14:paraId="6BFA841E" w14:textId="77777777" w:rsidR="00817793" w:rsidRDefault="002719FC">
      <w:pPr>
        <w:pBdr>
          <w:top w:val="nil"/>
          <w:left w:val="nil"/>
          <w:bottom w:val="nil"/>
          <w:right w:val="nil"/>
          <w:between w:val="nil"/>
        </w:pBdr>
        <w:spacing w:before="0" w:after="0" w:line="276" w:lineRule="auto"/>
        <w:jc w:val="center"/>
        <w:rPr>
          <w:b/>
          <w:color w:val="000000"/>
          <w:sz w:val="28"/>
          <w:szCs w:val="28"/>
        </w:rPr>
      </w:pPr>
      <w:r>
        <w:rPr>
          <w:b/>
          <w:color w:val="000000"/>
          <w:sz w:val="28"/>
          <w:szCs w:val="28"/>
        </w:rPr>
        <w:lastRenderedPageBreak/>
        <w:t>AGÊNCIA NACIONAL DE SAÚDE SUPLEMENTAR</w:t>
      </w:r>
    </w:p>
    <w:p w14:paraId="251FC743" w14:textId="77777777" w:rsidR="00817793" w:rsidRDefault="002719FC">
      <w:pPr>
        <w:pBdr>
          <w:top w:val="nil"/>
          <w:left w:val="nil"/>
          <w:bottom w:val="nil"/>
          <w:right w:val="nil"/>
          <w:between w:val="nil"/>
        </w:pBdr>
        <w:spacing w:before="0" w:after="0" w:line="276" w:lineRule="auto"/>
        <w:jc w:val="center"/>
        <w:rPr>
          <w:color w:val="000000"/>
          <w:sz w:val="28"/>
          <w:szCs w:val="28"/>
        </w:rPr>
      </w:pPr>
      <w:r>
        <w:rPr>
          <w:color w:val="000000"/>
          <w:sz w:val="28"/>
          <w:szCs w:val="28"/>
        </w:rPr>
        <w:t>Diretoria de Normas e Habilitação de Produtos</w:t>
      </w:r>
    </w:p>
    <w:p w14:paraId="2F454BE8" w14:textId="77777777" w:rsidR="00817793" w:rsidRDefault="002719FC">
      <w:pPr>
        <w:pBdr>
          <w:top w:val="nil"/>
          <w:left w:val="nil"/>
          <w:bottom w:val="nil"/>
          <w:right w:val="nil"/>
          <w:between w:val="nil"/>
        </w:pBdr>
        <w:spacing w:before="0" w:after="0" w:line="276" w:lineRule="auto"/>
        <w:jc w:val="center"/>
        <w:rPr>
          <w:color w:val="000000"/>
          <w:sz w:val="28"/>
          <w:szCs w:val="28"/>
        </w:rPr>
      </w:pPr>
      <w:r>
        <w:rPr>
          <w:color w:val="000000"/>
          <w:sz w:val="28"/>
          <w:szCs w:val="28"/>
        </w:rPr>
        <w:t>Gerência Geral de Regulação Assistencial</w:t>
      </w:r>
    </w:p>
    <w:p w14:paraId="51954E1B" w14:textId="77777777" w:rsidR="00817793" w:rsidRDefault="002719FC">
      <w:pPr>
        <w:shd w:val="clear" w:color="auto" w:fill="FFFFFF"/>
        <w:spacing w:before="0" w:after="0" w:line="240" w:lineRule="auto"/>
        <w:jc w:val="center"/>
        <w:rPr>
          <w:sz w:val="28"/>
          <w:szCs w:val="28"/>
        </w:rPr>
      </w:pPr>
      <w:r>
        <w:rPr>
          <w:sz w:val="28"/>
          <w:szCs w:val="28"/>
        </w:rPr>
        <w:t>Gerência de Cobertura Assistencial e Incorporação de Tecnologias em Saúde</w:t>
      </w:r>
    </w:p>
    <w:p w14:paraId="34CE0A41" w14:textId="77777777" w:rsidR="00817793" w:rsidRDefault="00817793"/>
    <w:p w14:paraId="62EBF3C5" w14:textId="77777777" w:rsidR="00817793" w:rsidRDefault="00817793"/>
    <w:p w14:paraId="6D98A12B" w14:textId="77777777" w:rsidR="00817793" w:rsidRDefault="00817793"/>
    <w:p w14:paraId="2946DB82" w14:textId="77777777" w:rsidR="00817793" w:rsidRDefault="00817793"/>
    <w:p w14:paraId="379C2355" w14:textId="77777777" w:rsidR="00817793" w:rsidRDefault="002719FC">
      <w:pPr>
        <w:pBdr>
          <w:top w:val="single" w:sz="4" w:space="1" w:color="000000"/>
          <w:left w:val="single" w:sz="4" w:space="4" w:color="000000"/>
          <w:bottom w:val="single" w:sz="4" w:space="1" w:color="000000"/>
          <w:right w:val="single" w:sz="4" w:space="4" w:color="000000"/>
          <w:between w:val="nil"/>
        </w:pBdr>
        <w:spacing w:line="240" w:lineRule="auto"/>
        <w:jc w:val="center"/>
        <w:rPr>
          <w:color w:val="44546A"/>
          <w:sz w:val="40"/>
          <w:szCs w:val="40"/>
        </w:rPr>
      </w:pPr>
      <w:proofErr w:type="spellStart"/>
      <w:r>
        <w:rPr>
          <w:color w:val="44546A"/>
          <w:sz w:val="40"/>
          <w:szCs w:val="40"/>
        </w:rPr>
        <w:t>Anifrolumabe</w:t>
      </w:r>
      <w:proofErr w:type="spellEnd"/>
      <w:r>
        <w:rPr>
          <w:color w:val="44546A"/>
          <w:sz w:val="40"/>
          <w:szCs w:val="40"/>
        </w:rPr>
        <w:t xml:space="preserve"> para tratamento do </w:t>
      </w:r>
      <w:proofErr w:type="spellStart"/>
      <w:r>
        <w:rPr>
          <w:color w:val="44546A"/>
          <w:sz w:val="40"/>
          <w:szCs w:val="40"/>
        </w:rPr>
        <w:t>Lupus</w:t>
      </w:r>
      <w:proofErr w:type="spellEnd"/>
      <w:r>
        <w:rPr>
          <w:color w:val="44546A"/>
          <w:sz w:val="40"/>
          <w:szCs w:val="40"/>
        </w:rPr>
        <w:t xml:space="preserve"> eritematoso sistêmico (LES) com moderada a alta atividade e falha à terapia tripla com hidroxicloroquina + corticosteroide + imunossupressor</w:t>
      </w:r>
    </w:p>
    <w:p w14:paraId="5997CC1D" w14:textId="77777777" w:rsidR="00817793" w:rsidRDefault="00817793">
      <w:pPr>
        <w:spacing w:before="120" w:after="0"/>
        <w:jc w:val="left"/>
        <w:rPr>
          <w:sz w:val="24"/>
          <w:szCs w:val="24"/>
          <w:highlight w:val="yellow"/>
        </w:rPr>
      </w:pPr>
    </w:p>
    <w:p w14:paraId="110FFD37" w14:textId="77777777" w:rsidR="00817793" w:rsidRDefault="00817793">
      <w:pPr>
        <w:spacing w:before="0" w:after="0"/>
        <w:jc w:val="left"/>
        <w:rPr>
          <w:sz w:val="28"/>
          <w:szCs w:val="28"/>
        </w:rPr>
      </w:pPr>
    </w:p>
    <w:p w14:paraId="1F72F646" w14:textId="77777777" w:rsidR="00817793" w:rsidRDefault="00817793">
      <w:pPr>
        <w:spacing w:before="0" w:after="0"/>
        <w:jc w:val="left"/>
        <w:rPr>
          <w:sz w:val="24"/>
          <w:szCs w:val="24"/>
        </w:rPr>
      </w:pPr>
    </w:p>
    <w:p w14:paraId="08CE6F91" w14:textId="77777777" w:rsidR="00817793" w:rsidRDefault="00817793">
      <w:pPr>
        <w:spacing w:before="0" w:after="0"/>
        <w:jc w:val="left"/>
        <w:rPr>
          <w:sz w:val="24"/>
          <w:szCs w:val="24"/>
        </w:rPr>
      </w:pPr>
    </w:p>
    <w:p w14:paraId="61CDCEAD" w14:textId="77777777" w:rsidR="00817793" w:rsidRDefault="00817793">
      <w:pPr>
        <w:spacing w:before="0" w:after="0"/>
        <w:jc w:val="left"/>
        <w:rPr>
          <w:sz w:val="24"/>
          <w:szCs w:val="24"/>
        </w:rPr>
      </w:pPr>
    </w:p>
    <w:p w14:paraId="6BB9E253" w14:textId="77777777" w:rsidR="00817793" w:rsidRDefault="00817793">
      <w:pPr>
        <w:spacing w:before="0" w:after="0"/>
        <w:jc w:val="left"/>
        <w:rPr>
          <w:sz w:val="24"/>
          <w:szCs w:val="24"/>
        </w:rPr>
      </w:pPr>
    </w:p>
    <w:p w14:paraId="23DE523C" w14:textId="77777777" w:rsidR="00817793" w:rsidRDefault="00817793">
      <w:pPr>
        <w:spacing w:before="0" w:after="0"/>
        <w:jc w:val="left"/>
        <w:rPr>
          <w:sz w:val="24"/>
          <w:szCs w:val="24"/>
        </w:rPr>
      </w:pPr>
    </w:p>
    <w:p w14:paraId="52E56223" w14:textId="77777777" w:rsidR="00817793" w:rsidRDefault="00817793">
      <w:pPr>
        <w:spacing w:before="0" w:after="0"/>
        <w:jc w:val="left"/>
        <w:rPr>
          <w:sz w:val="24"/>
          <w:szCs w:val="24"/>
        </w:rPr>
      </w:pPr>
    </w:p>
    <w:p w14:paraId="07547A01" w14:textId="77777777" w:rsidR="00817793" w:rsidRDefault="00817793">
      <w:pPr>
        <w:spacing w:before="0" w:after="0"/>
        <w:jc w:val="left"/>
        <w:rPr>
          <w:sz w:val="24"/>
          <w:szCs w:val="24"/>
        </w:rPr>
      </w:pPr>
    </w:p>
    <w:p w14:paraId="5043CB0F" w14:textId="77777777" w:rsidR="00817793" w:rsidRDefault="00817793">
      <w:pPr>
        <w:spacing w:before="0" w:after="0"/>
        <w:jc w:val="left"/>
        <w:rPr>
          <w:sz w:val="24"/>
          <w:szCs w:val="24"/>
        </w:rPr>
      </w:pPr>
    </w:p>
    <w:p w14:paraId="07459315" w14:textId="77777777" w:rsidR="00817793" w:rsidRDefault="00817793">
      <w:pPr>
        <w:spacing w:before="120" w:after="0"/>
        <w:jc w:val="left"/>
        <w:rPr>
          <w:sz w:val="24"/>
          <w:szCs w:val="24"/>
          <w:highlight w:val="yellow"/>
        </w:rPr>
      </w:pPr>
    </w:p>
    <w:p w14:paraId="2D7CA0BC" w14:textId="77777777" w:rsidR="00817793" w:rsidRDefault="002719FC">
      <w:pPr>
        <w:spacing w:before="0" w:after="0"/>
        <w:jc w:val="center"/>
        <w:rPr>
          <w:sz w:val="28"/>
          <w:szCs w:val="28"/>
        </w:rPr>
      </w:pPr>
      <w:r>
        <w:rPr>
          <w:sz w:val="28"/>
          <w:szCs w:val="28"/>
        </w:rPr>
        <w:t>Porto Alegre - RS</w:t>
      </w:r>
    </w:p>
    <w:p w14:paraId="15ECBA2B" w14:textId="77777777" w:rsidR="00817793" w:rsidRDefault="002719FC">
      <w:pPr>
        <w:spacing w:before="0" w:after="0"/>
        <w:jc w:val="center"/>
        <w:rPr>
          <w:color w:val="44546A"/>
          <w:sz w:val="18"/>
          <w:szCs w:val="18"/>
        </w:rPr>
      </w:pPr>
      <w:r>
        <w:rPr>
          <w:sz w:val="28"/>
          <w:szCs w:val="28"/>
        </w:rPr>
        <w:t>Janeiro/2025</w:t>
      </w:r>
      <w:r>
        <w:br w:type="page"/>
      </w:r>
    </w:p>
    <w:p w14:paraId="6537F28F" w14:textId="77777777" w:rsidR="00817793" w:rsidRDefault="00817793">
      <w:pPr>
        <w:keepNext/>
        <w:keepLines/>
        <w:pBdr>
          <w:top w:val="nil"/>
          <w:left w:val="nil"/>
          <w:bottom w:val="nil"/>
          <w:right w:val="nil"/>
          <w:between w:val="nil"/>
        </w:pBdr>
        <w:spacing w:before="0" w:after="0" w:line="240" w:lineRule="auto"/>
        <w:jc w:val="center"/>
        <w:rPr>
          <w:b/>
          <w:sz w:val="32"/>
          <w:szCs w:val="32"/>
        </w:rPr>
      </w:pPr>
    </w:p>
    <w:p w14:paraId="2D32F493" w14:textId="77777777" w:rsidR="00817793" w:rsidRDefault="002719FC">
      <w:pPr>
        <w:keepNext/>
        <w:keepLines/>
        <w:pBdr>
          <w:top w:val="nil"/>
          <w:left w:val="nil"/>
          <w:bottom w:val="nil"/>
          <w:right w:val="nil"/>
          <w:between w:val="nil"/>
        </w:pBdr>
        <w:spacing w:before="0" w:after="0" w:line="240" w:lineRule="auto"/>
        <w:jc w:val="center"/>
        <w:rPr>
          <w:b/>
          <w:color w:val="000000"/>
          <w:sz w:val="32"/>
          <w:szCs w:val="32"/>
        </w:rPr>
      </w:pPr>
      <w:r>
        <w:rPr>
          <w:b/>
          <w:color w:val="000000"/>
          <w:sz w:val="32"/>
          <w:szCs w:val="32"/>
        </w:rPr>
        <w:t>Sumário</w:t>
      </w:r>
    </w:p>
    <w:sdt>
      <w:sdtPr>
        <w:id w:val="550957691"/>
        <w:docPartObj>
          <w:docPartGallery w:val="Table of Contents"/>
          <w:docPartUnique/>
        </w:docPartObj>
      </w:sdtPr>
      <w:sdtContent>
        <w:p w14:paraId="273EDF62" w14:textId="77777777" w:rsidR="00817793" w:rsidRDefault="002719FC">
          <w:pPr>
            <w:widowControl w:val="0"/>
            <w:tabs>
              <w:tab w:val="right" w:pos="12000"/>
            </w:tabs>
            <w:spacing w:before="60" w:after="0" w:line="240" w:lineRule="auto"/>
            <w:jc w:val="left"/>
            <w:rPr>
              <w:b/>
              <w:color w:val="000000"/>
            </w:rPr>
          </w:pPr>
          <w:r>
            <w:fldChar w:fldCharType="begin"/>
          </w:r>
          <w:r>
            <w:instrText xml:space="preserve"> TOC \h \u \z \t "Heading 1,1,Heading 2,2,Heading 6,6,"</w:instrText>
          </w:r>
          <w:r>
            <w:fldChar w:fldCharType="separate"/>
          </w:r>
          <w:hyperlink w:anchor="_30j0zll">
            <w:r>
              <w:rPr>
                <w:color w:val="000000"/>
              </w:rPr>
              <w:t>1. IDENTIFICAÇÃO</w:t>
            </w:r>
            <w:r>
              <w:rPr>
                <w:color w:val="000000"/>
              </w:rPr>
              <w:tab/>
              <w:t>9</w:t>
            </w:r>
          </w:hyperlink>
        </w:p>
        <w:p w14:paraId="5DF002E0" w14:textId="77777777" w:rsidR="00817793" w:rsidRDefault="002719FC">
          <w:pPr>
            <w:widowControl w:val="0"/>
            <w:tabs>
              <w:tab w:val="right" w:pos="12000"/>
            </w:tabs>
            <w:spacing w:before="60" w:after="0" w:line="240" w:lineRule="auto"/>
            <w:jc w:val="left"/>
            <w:rPr>
              <w:b/>
              <w:color w:val="000000"/>
            </w:rPr>
          </w:pPr>
          <w:hyperlink w:anchor="_1fob9te">
            <w:r>
              <w:rPr>
                <w:color w:val="000000"/>
              </w:rPr>
              <w:t>2. RESUMO EXECUTIVO</w:t>
            </w:r>
            <w:r>
              <w:rPr>
                <w:color w:val="000000"/>
              </w:rPr>
              <w:tab/>
              <w:t>10</w:t>
            </w:r>
          </w:hyperlink>
        </w:p>
        <w:p w14:paraId="20B9AA9F" w14:textId="77777777" w:rsidR="00817793" w:rsidRDefault="002719FC">
          <w:pPr>
            <w:widowControl w:val="0"/>
            <w:tabs>
              <w:tab w:val="right" w:pos="12000"/>
            </w:tabs>
            <w:spacing w:before="60" w:after="0" w:line="240" w:lineRule="auto"/>
            <w:jc w:val="left"/>
            <w:rPr>
              <w:b/>
              <w:color w:val="000000"/>
            </w:rPr>
          </w:pPr>
          <w:hyperlink w:anchor="_3znysh7">
            <w:r>
              <w:rPr>
                <w:color w:val="000000"/>
              </w:rPr>
              <w:t>3. CONDIÇÃO CLÍNICA</w:t>
            </w:r>
            <w:r>
              <w:rPr>
                <w:color w:val="000000"/>
              </w:rPr>
              <w:tab/>
              <w:t>15</w:t>
            </w:r>
          </w:hyperlink>
        </w:p>
        <w:p w14:paraId="7C2922EA" w14:textId="77777777" w:rsidR="00817793" w:rsidRDefault="002719FC">
          <w:pPr>
            <w:widowControl w:val="0"/>
            <w:tabs>
              <w:tab w:val="right" w:pos="12000"/>
            </w:tabs>
            <w:spacing w:before="60" w:after="0" w:line="240" w:lineRule="auto"/>
            <w:ind w:left="360"/>
            <w:jc w:val="left"/>
            <w:rPr>
              <w:color w:val="000000"/>
            </w:rPr>
          </w:pPr>
          <w:hyperlink w:anchor="_tyjcwt">
            <w:r>
              <w:rPr>
                <w:color w:val="000000"/>
              </w:rPr>
              <w:t>3.1. Aspectos clínicos e epidemiológicos</w:t>
            </w:r>
            <w:r>
              <w:rPr>
                <w:color w:val="000000"/>
              </w:rPr>
              <w:tab/>
              <w:t>15</w:t>
            </w:r>
          </w:hyperlink>
        </w:p>
        <w:p w14:paraId="4F409FB1" w14:textId="77777777" w:rsidR="00817793" w:rsidRDefault="002719FC">
          <w:pPr>
            <w:widowControl w:val="0"/>
            <w:tabs>
              <w:tab w:val="right" w:pos="12000"/>
            </w:tabs>
            <w:spacing w:before="60" w:after="0" w:line="240" w:lineRule="auto"/>
            <w:ind w:left="360"/>
            <w:jc w:val="left"/>
            <w:rPr>
              <w:color w:val="000000"/>
            </w:rPr>
          </w:pPr>
          <w:hyperlink w:anchor="_3dy6vkm">
            <w:r>
              <w:rPr>
                <w:color w:val="000000"/>
              </w:rPr>
              <w:t>3.2. Tratamento recomendado</w:t>
            </w:r>
            <w:r>
              <w:rPr>
                <w:color w:val="000000"/>
              </w:rPr>
              <w:tab/>
              <w:t>20</w:t>
            </w:r>
          </w:hyperlink>
        </w:p>
        <w:p w14:paraId="2DD72F64" w14:textId="77777777" w:rsidR="00817793" w:rsidRDefault="002719FC">
          <w:pPr>
            <w:widowControl w:val="0"/>
            <w:tabs>
              <w:tab w:val="right" w:pos="12000"/>
            </w:tabs>
            <w:spacing w:before="60" w:after="0" w:line="240" w:lineRule="auto"/>
            <w:jc w:val="left"/>
            <w:rPr>
              <w:b/>
              <w:color w:val="000000"/>
            </w:rPr>
          </w:pPr>
          <w:hyperlink w:anchor="_1t3h5sf">
            <w:r>
              <w:rPr>
                <w:color w:val="000000"/>
              </w:rPr>
              <w:t>4. TECNOLOGIA</w:t>
            </w:r>
            <w:r>
              <w:rPr>
                <w:color w:val="000000"/>
              </w:rPr>
              <w:tab/>
              <w:t>22</w:t>
            </w:r>
          </w:hyperlink>
        </w:p>
        <w:p w14:paraId="5F67EE8E" w14:textId="77777777" w:rsidR="00817793" w:rsidRDefault="002719FC">
          <w:pPr>
            <w:widowControl w:val="0"/>
            <w:tabs>
              <w:tab w:val="right" w:pos="12000"/>
            </w:tabs>
            <w:spacing w:before="60" w:after="0" w:line="240" w:lineRule="auto"/>
            <w:ind w:left="360"/>
            <w:jc w:val="left"/>
            <w:rPr>
              <w:color w:val="000000"/>
            </w:rPr>
          </w:pPr>
          <w:hyperlink w:anchor="_4d34og8">
            <w:r>
              <w:rPr>
                <w:color w:val="000000"/>
              </w:rPr>
              <w:t>4.1. Descrição</w:t>
            </w:r>
            <w:r>
              <w:rPr>
                <w:color w:val="000000"/>
              </w:rPr>
              <w:tab/>
              <w:t>22</w:t>
            </w:r>
          </w:hyperlink>
        </w:p>
        <w:p w14:paraId="1D7B46D4" w14:textId="77777777" w:rsidR="00817793" w:rsidRDefault="002719FC">
          <w:pPr>
            <w:widowControl w:val="0"/>
            <w:tabs>
              <w:tab w:val="right" w:pos="12000"/>
            </w:tabs>
            <w:spacing w:before="60" w:after="0" w:line="240" w:lineRule="auto"/>
            <w:ind w:left="360"/>
            <w:jc w:val="left"/>
            <w:rPr>
              <w:color w:val="000000"/>
            </w:rPr>
          </w:pPr>
          <w:hyperlink w:anchor="_2s8eyo1">
            <w:r>
              <w:rPr>
                <w:color w:val="000000"/>
              </w:rPr>
              <w:t>4.2. Ficha técnica</w:t>
            </w:r>
            <w:r>
              <w:rPr>
                <w:color w:val="000000"/>
              </w:rPr>
              <w:tab/>
              <w:t>23</w:t>
            </w:r>
          </w:hyperlink>
        </w:p>
        <w:p w14:paraId="7B090DD9" w14:textId="77777777" w:rsidR="00817793" w:rsidRDefault="002719FC">
          <w:pPr>
            <w:widowControl w:val="0"/>
            <w:tabs>
              <w:tab w:val="right" w:pos="12000"/>
            </w:tabs>
            <w:spacing w:before="60" w:after="0" w:line="240" w:lineRule="auto"/>
            <w:jc w:val="left"/>
            <w:rPr>
              <w:b/>
              <w:color w:val="000000"/>
            </w:rPr>
          </w:pPr>
          <w:hyperlink>
            <w:r>
              <w:rPr>
                <w:color w:val="000000"/>
              </w:rPr>
              <w:t>5. AVALIAÇÃO DE EFICÁCIA/EFETIVIDADE E SEGURANÇA</w:t>
            </w:r>
            <w:r>
              <w:rPr>
                <w:color w:val="000000"/>
              </w:rPr>
              <w:tab/>
              <w:t>26</w:t>
            </w:r>
          </w:hyperlink>
        </w:p>
        <w:p w14:paraId="694A43FC" w14:textId="77777777" w:rsidR="00817793" w:rsidRDefault="002719FC">
          <w:pPr>
            <w:widowControl w:val="0"/>
            <w:tabs>
              <w:tab w:val="right" w:pos="12000"/>
            </w:tabs>
            <w:spacing w:before="60" w:after="0" w:line="240" w:lineRule="auto"/>
            <w:ind w:left="360"/>
            <w:jc w:val="left"/>
            <w:rPr>
              <w:color w:val="000000"/>
            </w:rPr>
          </w:pPr>
          <w:hyperlink w:anchor="_35nkun2">
            <w:r>
              <w:rPr>
                <w:color w:val="000000"/>
              </w:rPr>
              <w:t>5.1. Pergunta estruturada</w:t>
            </w:r>
            <w:r>
              <w:rPr>
                <w:color w:val="000000"/>
              </w:rPr>
              <w:tab/>
              <w:t>26</w:t>
            </w:r>
          </w:hyperlink>
        </w:p>
        <w:p w14:paraId="1987ED91" w14:textId="77777777" w:rsidR="00817793" w:rsidRDefault="002719FC">
          <w:pPr>
            <w:widowControl w:val="0"/>
            <w:tabs>
              <w:tab w:val="right" w:pos="12000"/>
            </w:tabs>
            <w:spacing w:before="60" w:after="0" w:line="240" w:lineRule="auto"/>
            <w:ind w:left="360"/>
            <w:jc w:val="left"/>
            <w:rPr>
              <w:color w:val="000000"/>
            </w:rPr>
          </w:pPr>
          <w:hyperlink w:anchor="_2jxsxqh">
            <w:r>
              <w:rPr>
                <w:color w:val="000000"/>
              </w:rPr>
              <w:t>5.2. Critérios de elegibilidade</w:t>
            </w:r>
            <w:r>
              <w:rPr>
                <w:color w:val="000000"/>
              </w:rPr>
              <w:tab/>
              <w:t>29</w:t>
            </w:r>
          </w:hyperlink>
        </w:p>
        <w:p w14:paraId="5C24AF63" w14:textId="77777777" w:rsidR="00817793" w:rsidRDefault="002719FC">
          <w:pPr>
            <w:widowControl w:val="0"/>
            <w:tabs>
              <w:tab w:val="right" w:pos="12000"/>
            </w:tabs>
            <w:spacing w:before="60" w:after="0" w:line="240" w:lineRule="auto"/>
            <w:ind w:left="360"/>
            <w:jc w:val="left"/>
            <w:rPr>
              <w:color w:val="000000"/>
            </w:rPr>
          </w:pPr>
          <w:hyperlink w:anchor="_3j2qqm3">
            <w:r>
              <w:rPr>
                <w:color w:val="000000"/>
              </w:rPr>
              <w:t>5.3. Busca por evidências</w:t>
            </w:r>
            <w:r>
              <w:rPr>
                <w:color w:val="000000"/>
              </w:rPr>
              <w:tab/>
              <w:t>30</w:t>
            </w:r>
          </w:hyperlink>
        </w:p>
        <w:p w14:paraId="6AC2F7DF" w14:textId="77777777" w:rsidR="00817793" w:rsidRDefault="002719FC">
          <w:pPr>
            <w:widowControl w:val="0"/>
            <w:tabs>
              <w:tab w:val="right" w:pos="12000"/>
            </w:tabs>
            <w:spacing w:before="60" w:after="0" w:line="240" w:lineRule="auto"/>
            <w:ind w:left="360"/>
            <w:jc w:val="left"/>
            <w:rPr>
              <w:color w:val="000000"/>
            </w:rPr>
          </w:pPr>
          <w:hyperlink>
            <w:r>
              <w:rPr>
                <w:color w:val="000000"/>
              </w:rPr>
              <w:t>5.4. Seleção de estudos e extração de dados</w:t>
            </w:r>
            <w:r>
              <w:rPr>
                <w:color w:val="000000"/>
              </w:rPr>
              <w:tab/>
              <w:t>32</w:t>
            </w:r>
          </w:hyperlink>
        </w:p>
        <w:p w14:paraId="5A31E282" w14:textId="77777777" w:rsidR="00817793" w:rsidRDefault="002719FC">
          <w:pPr>
            <w:widowControl w:val="0"/>
            <w:tabs>
              <w:tab w:val="right" w:pos="12000"/>
            </w:tabs>
            <w:spacing w:before="60" w:after="0" w:line="240" w:lineRule="auto"/>
            <w:ind w:left="360"/>
            <w:jc w:val="left"/>
            <w:rPr>
              <w:color w:val="000000"/>
            </w:rPr>
          </w:pPr>
          <w:hyperlink w:anchor="_4i7ojhp">
            <w:r>
              <w:rPr>
                <w:color w:val="000000"/>
              </w:rPr>
              <w:t>5.5. Resultados</w:t>
            </w:r>
            <w:r>
              <w:rPr>
                <w:color w:val="000000"/>
              </w:rPr>
              <w:tab/>
              <w:t>47</w:t>
            </w:r>
          </w:hyperlink>
        </w:p>
        <w:p w14:paraId="5054329C" w14:textId="77777777" w:rsidR="00817793" w:rsidRDefault="002719FC">
          <w:pPr>
            <w:widowControl w:val="0"/>
            <w:tabs>
              <w:tab w:val="right" w:pos="12000"/>
            </w:tabs>
            <w:spacing w:before="60" w:after="0" w:line="240" w:lineRule="auto"/>
            <w:ind w:left="360"/>
            <w:jc w:val="left"/>
            <w:rPr>
              <w:color w:val="000000"/>
            </w:rPr>
          </w:pPr>
          <w:hyperlink w:anchor="_1ci93xb">
            <w:r>
              <w:rPr>
                <w:color w:val="000000"/>
              </w:rPr>
              <w:t>5.6 Discussão e conclusões</w:t>
            </w:r>
            <w:r>
              <w:rPr>
                <w:color w:val="000000"/>
              </w:rPr>
              <w:tab/>
              <w:t>77</w:t>
            </w:r>
          </w:hyperlink>
        </w:p>
        <w:p w14:paraId="5ECD5174" w14:textId="77777777" w:rsidR="00817793" w:rsidRDefault="002719FC">
          <w:pPr>
            <w:widowControl w:val="0"/>
            <w:tabs>
              <w:tab w:val="right" w:pos="12000"/>
            </w:tabs>
            <w:spacing w:before="60" w:after="0" w:line="240" w:lineRule="auto"/>
            <w:ind w:left="360"/>
            <w:jc w:val="left"/>
            <w:rPr>
              <w:color w:val="000000"/>
            </w:rPr>
          </w:pPr>
          <w:hyperlink w:anchor="_3whwml4">
            <w:r>
              <w:rPr>
                <w:color w:val="000000"/>
              </w:rPr>
              <w:t>5.7 Elementos pós-texto</w:t>
            </w:r>
            <w:r>
              <w:rPr>
                <w:color w:val="000000"/>
              </w:rPr>
              <w:tab/>
              <w:t>80</w:t>
            </w:r>
          </w:hyperlink>
        </w:p>
        <w:p w14:paraId="6D1ECFC6" w14:textId="77777777" w:rsidR="00817793" w:rsidRDefault="002719FC">
          <w:pPr>
            <w:widowControl w:val="0"/>
            <w:tabs>
              <w:tab w:val="right" w:pos="12000"/>
            </w:tabs>
            <w:spacing w:before="60" w:after="0" w:line="240" w:lineRule="auto"/>
            <w:jc w:val="left"/>
            <w:rPr>
              <w:b/>
              <w:color w:val="000000"/>
            </w:rPr>
          </w:pPr>
          <w:hyperlink w:anchor="_2bn6wsx">
            <w:r>
              <w:rPr>
                <w:color w:val="000000"/>
              </w:rPr>
              <w:t>6. AVALIAÇÃO ECONÔMICA</w:t>
            </w:r>
            <w:r>
              <w:rPr>
                <w:color w:val="000000"/>
              </w:rPr>
              <w:tab/>
              <w:t>81</w:t>
            </w:r>
          </w:hyperlink>
        </w:p>
        <w:p w14:paraId="524B819C" w14:textId="77777777" w:rsidR="00817793" w:rsidRDefault="002719FC">
          <w:pPr>
            <w:widowControl w:val="0"/>
            <w:tabs>
              <w:tab w:val="right" w:pos="12000"/>
            </w:tabs>
            <w:spacing w:before="60" w:after="0" w:line="240" w:lineRule="auto"/>
            <w:ind w:left="360"/>
            <w:jc w:val="left"/>
            <w:rPr>
              <w:color w:val="000000"/>
            </w:rPr>
          </w:pPr>
          <w:hyperlink w:anchor="_3as4poj">
            <w:r>
              <w:rPr>
                <w:color w:val="000000"/>
              </w:rPr>
              <w:t>6.1 Métodos</w:t>
            </w:r>
            <w:r>
              <w:rPr>
                <w:color w:val="000000"/>
              </w:rPr>
              <w:tab/>
              <w:t>82</w:t>
            </w:r>
          </w:hyperlink>
        </w:p>
        <w:p w14:paraId="6004DDB5" w14:textId="77777777" w:rsidR="00817793" w:rsidRDefault="002719FC">
          <w:pPr>
            <w:widowControl w:val="0"/>
            <w:tabs>
              <w:tab w:val="right" w:pos="12000"/>
            </w:tabs>
            <w:spacing w:before="60" w:after="0" w:line="240" w:lineRule="auto"/>
            <w:ind w:left="360"/>
            <w:jc w:val="left"/>
            <w:rPr>
              <w:color w:val="000000"/>
            </w:rPr>
          </w:pPr>
          <w:hyperlink w:anchor="_1pxezwc">
            <w:r>
              <w:rPr>
                <w:color w:val="000000"/>
              </w:rPr>
              <w:t>6.2 Resultados</w:t>
            </w:r>
            <w:r>
              <w:rPr>
                <w:color w:val="000000"/>
              </w:rPr>
              <w:tab/>
              <w:t>93</w:t>
            </w:r>
          </w:hyperlink>
        </w:p>
        <w:p w14:paraId="2DB9800B" w14:textId="77777777" w:rsidR="00817793" w:rsidRDefault="002719FC">
          <w:pPr>
            <w:widowControl w:val="0"/>
            <w:tabs>
              <w:tab w:val="right" w:pos="12000"/>
            </w:tabs>
            <w:spacing w:before="60" w:after="0" w:line="240" w:lineRule="auto"/>
            <w:ind w:left="360"/>
            <w:jc w:val="left"/>
            <w:rPr>
              <w:color w:val="000000"/>
            </w:rPr>
          </w:pPr>
          <w:hyperlink>
            <w:r>
              <w:rPr>
                <w:color w:val="000000"/>
              </w:rPr>
              <w:t>6.3 Discussão e conclusões</w:t>
            </w:r>
            <w:r>
              <w:rPr>
                <w:color w:val="000000"/>
              </w:rPr>
              <w:tab/>
              <w:t>96</w:t>
            </w:r>
          </w:hyperlink>
        </w:p>
        <w:p w14:paraId="55C58E77" w14:textId="77777777" w:rsidR="00817793" w:rsidRDefault="002719FC">
          <w:pPr>
            <w:widowControl w:val="0"/>
            <w:tabs>
              <w:tab w:val="right" w:pos="12000"/>
            </w:tabs>
            <w:spacing w:before="60" w:after="0" w:line="240" w:lineRule="auto"/>
            <w:ind w:left="360"/>
            <w:jc w:val="left"/>
            <w:rPr>
              <w:color w:val="000000"/>
            </w:rPr>
          </w:pPr>
          <w:hyperlink w:anchor="_147n2zr">
            <w:r>
              <w:rPr>
                <w:color w:val="000000"/>
              </w:rPr>
              <w:t>6.4 Elementos pós-texto</w:t>
            </w:r>
            <w:r>
              <w:rPr>
                <w:color w:val="000000"/>
              </w:rPr>
              <w:tab/>
              <w:t>97</w:t>
            </w:r>
          </w:hyperlink>
        </w:p>
        <w:p w14:paraId="67973230" w14:textId="77777777" w:rsidR="00817793" w:rsidRDefault="002719FC">
          <w:pPr>
            <w:widowControl w:val="0"/>
            <w:tabs>
              <w:tab w:val="right" w:pos="12000"/>
            </w:tabs>
            <w:spacing w:before="60" w:after="0" w:line="240" w:lineRule="auto"/>
            <w:jc w:val="left"/>
            <w:rPr>
              <w:b/>
              <w:color w:val="000000"/>
            </w:rPr>
          </w:pPr>
          <w:hyperlink w:anchor="_3o7alnk">
            <w:r>
              <w:rPr>
                <w:color w:val="000000"/>
              </w:rPr>
              <w:t>7. ANÁLISE DE IMPACTO ORÇAMENTÁRIO</w:t>
            </w:r>
            <w:r>
              <w:rPr>
                <w:color w:val="000000"/>
              </w:rPr>
              <w:tab/>
              <w:t>98</w:t>
            </w:r>
          </w:hyperlink>
        </w:p>
        <w:p w14:paraId="77FD8D75" w14:textId="77777777" w:rsidR="00817793" w:rsidRDefault="002719FC">
          <w:pPr>
            <w:widowControl w:val="0"/>
            <w:tabs>
              <w:tab w:val="right" w:pos="12000"/>
            </w:tabs>
            <w:spacing w:before="60" w:after="0" w:line="240" w:lineRule="auto"/>
            <w:ind w:left="360"/>
            <w:jc w:val="left"/>
            <w:rPr>
              <w:color w:val="000000"/>
            </w:rPr>
          </w:pPr>
          <w:hyperlink w:anchor="_ihv636">
            <w:r>
              <w:rPr>
                <w:color w:val="000000"/>
              </w:rPr>
              <w:t>7.1 Métodos</w:t>
            </w:r>
            <w:r>
              <w:rPr>
                <w:color w:val="000000"/>
              </w:rPr>
              <w:tab/>
              <w:t>98</w:t>
            </w:r>
          </w:hyperlink>
        </w:p>
        <w:p w14:paraId="53F295CA" w14:textId="77777777" w:rsidR="00817793" w:rsidRDefault="002719FC">
          <w:pPr>
            <w:widowControl w:val="0"/>
            <w:tabs>
              <w:tab w:val="right" w:pos="12000"/>
            </w:tabs>
            <w:spacing w:before="60" w:after="0" w:line="240" w:lineRule="auto"/>
            <w:ind w:left="360"/>
            <w:jc w:val="left"/>
            <w:rPr>
              <w:color w:val="000000"/>
            </w:rPr>
          </w:pPr>
          <w:hyperlink w:anchor="_32hioqz">
            <w:r>
              <w:rPr>
                <w:color w:val="000000"/>
              </w:rPr>
              <w:t>7.2 Resultados</w:t>
            </w:r>
            <w:r>
              <w:rPr>
                <w:color w:val="000000"/>
              </w:rPr>
              <w:tab/>
              <w:t>108</w:t>
            </w:r>
          </w:hyperlink>
        </w:p>
        <w:p w14:paraId="0C1E1155" w14:textId="77777777" w:rsidR="00817793" w:rsidRDefault="002719FC">
          <w:pPr>
            <w:widowControl w:val="0"/>
            <w:tabs>
              <w:tab w:val="right" w:pos="12000"/>
            </w:tabs>
            <w:spacing w:before="60" w:after="0" w:line="240" w:lineRule="auto"/>
            <w:ind w:left="360"/>
            <w:jc w:val="left"/>
            <w:rPr>
              <w:color w:val="000000"/>
            </w:rPr>
          </w:pPr>
          <w:hyperlink w:anchor="_41mghml">
            <w:r>
              <w:rPr>
                <w:color w:val="000000"/>
              </w:rPr>
              <w:t>7.3 Discussão e conclusões</w:t>
            </w:r>
            <w:r>
              <w:rPr>
                <w:color w:val="000000"/>
              </w:rPr>
              <w:tab/>
              <w:t>113</w:t>
            </w:r>
          </w:hyperlink>
        </w:p>
        <w:p w14:paraId="6F718589" w14:textId="77777777" w:rsidR="00817793" w:rsidRDefault="002719FC">
          <w:pPr>
            <w:widowControl w:val="0"/>
            <w:tabs>
              <w:tab w:val="right" w:pos="12000"/>
            </w:tabs>
            <w:spacing w:before="60" w:after="0" w:line="240" w:lineRule="auto"/>
            <w:ind w:left="360"/>
            <w:jc w:val="left"/>
            <w:rPr>
              <w:color w:val="000000"/>
            </w:rPr>
          </w:pPr>
          <w:hyperlink w:anchor="_2grqrue">
            <w:r>
              <w:rPr>
                <w:color w:val="000000"/>
              </w:rPr>
              <w:t>7.4 Elementos pós-texto</w:t>
            </w:r>
            <w:r>
              <w:rPr>
                <w:color w:val="000000"/>
              </w:rPr>
              <w:tab/>
              <w:t>114</w:t>
            </w:r>
          </w:hyperlink>
        </w:p>
        <w:p w14:paraId="615CB92B" w14:textId="77777777" w:rsidR="00817793" w:rsidRDefault="002719FC">
          <w:pPr>
            <w:widowControl w:val="0"/>
            <w:tabs>
              <w:tab w:val="right" w:pos="12000"/>
            </w:tabs>
            <w:spacing w:before="60" w:after="0" w:line="240" w:lineRule="auto"/>
            <w:jc w:val="left"/>
            <w:rPr>
              <w:b/>
              <w:color w:val="000000"/>
            </w:rPr>
          </w:pPr>
          <w:hyperlink w:anchor="_vx1227">
            <w:r>
              <w:rPr>
                <w:color w:val="000000"/>
              </w:rPr>
              <w:t>8. CONSIDERAÇÕES FINAIS</w:t>
            </w:r>
            <w:r>
              <w:rPr>
                <w:color w:val="000000"/>
              </w:rPr>
              <w:tab/>
              <w:t>115</w:t>
            </w:r>
          </w:hyperlink>
        </w:p>
        <w:p w14:paraId="404CC904" w14:textId="77777777" w:rsidR="00817793" w:rsidRDefault="002719FC">
          <w:pPr>
            <w:widowControl w:val="0"/>
            <w:tabs>
              <w:tab w:val="right" w:pos="12000"/>
            </w:tabs>
            <w:spacing w:before="60" w:after="0" w:line="240" w:lineRule="auto"/>
            <w:ind w:left="360"/>
            <w:jc w:val="left"/>
            <w:rPr>
              <w:color w:val="000000"/>
            </w:rPr>
          </w:pPr>
          <w:hyperlink w:anchor="_3fwokq0">
            <w:r>
              <w:rPr>
                <w:color w:val="000000"/>
              </w:rPr>
              <w:t>8.1 Avaliação por outras agências de ATS</w:t>
            </w:r>
            <w:r>
              <w:rPr>
                <w:color w:val="000000"/>
              </w:rPr>
              <w:tab/>
              <w:t>115</w:t>
            </w:r>
          </w:hyperlink>
        </w:p>
        <w:p w14:paraId="04E94117" w14:textId="77777777" w:rsidR="00817793" w:rsidRDefault="002719FC">
          <w:pPr>
            <w:widowControl w:val="0"/>
            <w:tabs>
              <w:tab w:val="right" w:pos="12000"/>
            </w:tabs>
            <w:spacing w:before="60" w:after="0" w:line="240" w:lineRule="auto"/>
            <w:ind w:left="360"/>
            <w:jc w:val="left"/>
            <w:rPr>
              <w:color w:val="000000"/>
            </w:rPr>
          </w:pPr>
          <w:hyperlink w:anchor="_4f1mdlm">
            <w:r>
              <w:rPr>
                <w:color w:val="000000"/>
              </w:rPr>
              <w:t>8.2 Considerações sobre a implementação</w:t>
            </w:r>
            <w:r>
              <w:rPr>
                <w:color w:val="000000"/>
              </w:rPr>
              <w:tab/>
              <w:t>118</w:t>
            </w:r>
          </w:hyperlink>
        </w:p>
        <w:p w14:paraId="490251C6" w14:textId="77777777" w:rsidR="00817793" w:rsidRDefault="002719FC">
          <w:pPr>
            <w:widowControl w:val="0"/>
            <w:tabs>
              <w:tab w:val="right" w:pos="12000"/>
            </w:tabs>
            <w:spacing w:before="60" w:after="0" w:line="240" w:lineRule="auto"/>
            <w:ind w:left="360"/>
            <w:jc w:val="left"/>
            <w:rPr>
              <w:color w:val="000000"/>
            </w:rPr>
          </w:pPr>
          <w:hyperlink w:anchor="_2u6wntf">
            <w:r>
              <w:rPr>
                <w:color w:val="000000"/>
              </w:rPr>
              <w:t>8.3. Conclusões</w:t>
            </w:r>
            <w:r>
              <w:rPr>
                <w:color w:val="000000"/>
              </w:rPr>
              <w:tab/>
              <w:t>118</w:t>
            </w:r>
          </w:hyperlink>
        </w:p>
        <w:p w14:paraId="7EB2A0D2" w14:textId="77777777" w:rsidR="00817793" w:rsidRDefault="002719FC">
          <w:pPr>
            <w:widowControl w:val="0"/>
            <w:tabs>
              <w:tab w:val="right" w:pos="12000"/>
            </w:tabs>
            <w:spacing w:before="60" w:after="0" w:line="240" w:lineRule="auto"/>
            <w:jc w:val="left"/>
            <w:rPr>
              <w:b/>
              <w:color w:val="000000"/>
            </w:rPr>
          </w:pPr>
          <w:hyperlink w:anchor="_19c6y18">
            <w:r>
              <w:rPr>
                <w:color w:val="000000"/>
              </w:rPr>
              <w:t>9. REFERÊNCIAS</w:t>
            </w:r>
            <w:r>
              <w:rPr>
                <w:color w:val="000000"/>
              </w:rPr>
              <w:tab/>
              <w:t>120</w:t>
            </w:r>
          </w:hyperlink>
        </w:p>
        <w:p w14:paraId="59D2AEDD" w14:textId="77777777" w:rsidR="00817793" w:rsidRDefault="002719FC">
          <w:pPr>
            <w:widowControl w:val="0"/>
            <w:tabs>
              <w:tab w:val="right" w:pos="12000"/>
            </w:tabs>
            <w:spacing w:before="60" w:after="0" w:line="240" w:lineRule="auto"/>
            <w:jc w:val="left"/>
            <w:rPr>
              <w:b/>
              <w:color w:val="000000"/>
            </w:rPr>
          </w:pPr>
          <w:hyperlink w:anchor="_3tbugp1">
            <w:r>
              <w:rPr>
                <w:color w:val="000000"/>
              </w:rPr>
              <w:t>10. ANEXOS</w:t>
            </w:r>
            <w:r>
              <w:rPr>
                <w:color w:val="000000"/>
              </w:rPr>
              <w:tab/>
              <w:t>0</w:t>
            </w:r>
          </w:hyperlink>
          <w:r>
            <w:fldChar w:fldCharType="end"/>
          </w:r>
        </w:p>
      </w:sdtContent>
    </w:sdt>
    <w:p w14:paraId="6DFB9E20" w14:textId="77777777" w:rsidR="00817793" w:rsidRDefault="00817793">
      <w:pPr>
        <w:keepNext/>
        <w:keepLines/>
        <w:pBdr>
          <w:top w:val="nil"/>
          <w:left w:val="nil"/>
          <w:bottom w:val="nil"/>
          <w:right w:val="nil"/>
          <w:between w:val="nil"/>
        </w:pBdr>
        <w:spacing w:before="0" w:after="0" w:line="240" w:lineRule="auto"/>
        <w:jc w:val="center"/>
        <w:rPr>
          <w:b/>
          <w:color w:val="000000"/>
          <w:sz w:val="32"/>
          <w:szCs w:val="32"/>
        </w:rPr>
        <w:sectPr w:rsidR="00817793">
          <w:headerReference w:type="default" r:id="rId13"/>
          <w:pgSz w:w="11906" w:h="16838"/>
          <w:pgMar w:top="2115" w:right="1418" w:bottom="1134" w:left="1418" w:header="709" w:footer="709" w:gutter="0"/>
          <w:cols w:space="720"/>
        </w:sectPr>
      </w:pPr>
    </w:p>
    <w:p w14:paraId="0C43BDD9" w14:textId="77777777" w:rsidR="00817793" w:rsidRDefault="002719FC">
      <w:pPr>
        <w:spacing w:before="120"/>
        <w:rPr>
          <w:b/>
          <w:sz w:val="28"/>
          <w:szCs w:val="28"/>
        </w:rPr>
      </w:pPr>
      <w:r>
        <w:rPr>
          <w:b/>
          <w:sz w:val="28"/>
          <w:szCs w:val="28"/>
        </w:rPr>
        <w:lastRenderedPageBreak/>
        <w:t>LISTA DE FIGURAS</w:t>
      </w:r>
    </w:p>
    <w:sdt>
      <w:sdtPr>
        <w:id w:val="-655684601"/>
        <w:docPartObj>
          <w:docPartGallery w:val="Table of Contents"/>
          <w:docPartUnique/>
        </w:docPartObj>
      </w:sdtPr>
      <w:sdtContent>
        <w:p w14:paraId="58BE7CAC" w14:textId="77777777" w:rsidR="00817793" w:rsidRDefault="002719FC">
          <w:pPr>
            <w:widowControl w:val="0"/>
            <w:tabs>
              <w:tab w:val="right" w:pos="12000"/>
            </w:tabs>
            <w:spacing w:before="60" w:after="0" w:line="240" w:lineRule="auto"/>
            <w:jc w:val="left"/>
            <w:rPr>
              <w:rFonts w:ascii="Arial" w:eastAsia="Arial" w:hAnsi="Arial" w:cs="Arial"/>
              <w:b/>
              <w:color w:val="000000"/>
            </w:rPr>
          </w:pPr>
          <w:r>
            <w:fldChar w:fldCharType="begin"/>
          </w:r>
          <w:r>
            <w:instrText xml:space="preserve"> TOC \h \u \z \t "Heading 3,1,Heading 6,6,"</w:instrText>
          </w:r>
          <w:r>
            <w:fldChar w:fldCharType="separate"/>
          </w:r>
          <w:hyperlink w:anchor="_65nnsdhf8xlp">
            <w:r>
              <w:rPr>
                <w:color w:val="000000"/>
              </w:rPr>
              <w:t>Figura 1. Fluxograma da seleção dos estudos apresentado pelo PROPONENTE</w:t>
            </w:r>
            <w:r>
              <w:rPr>
                <w:color w:val="000000"/>
              </w:rPr>
              <w:tab/>
              <w:t>33</w:t>
            </w:r>
          </w:hyperlink>
        </w:p>
        <w:p w14:paraId="02F01A1D"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l4t8iwd4i6u4">
            <w:r>
              <w:rPr>
                <w:color w:val="000000"/>
              </w:rPr>
              <w:t>Figura 2.  Fluxograma da seleção dos estudos, versão do PARECERISTA.</w:t>
            </w:r>
            <w:r>
              <w:rPr>
                <w:color w:val="000000"/>
              </w:rPr>
              <w:tab/>
              <w:t>34</w:t>
            </w:r>
          </w:hyperlink>
        </w:p>
        <w:p w14:paraId="77935D2C"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58qydynig028">
            <w:r>
              <w:rPr>
                <w:color w:val="000000"/>
              </w:rPr>
              <w:t>Figura 3.  Risco de viés versão do PARECERISTA.</w:t>
            </w:r>
            <w:r>
              <w:rPr>
                <w:color w:val="000000"/>
              </w:rPr>
              <w:tab/>
              <w:t>72</w:t>
            </w:r>
          </w:hyperlink>
          <w:r>
            <w:fldChar w:fldCharType="end"/>
          </w:r>
        </w:p>
      </w:sdtContent>
    </w:sdt>
    <w:p w14:paraId="70DF9E56" w14:textId="77777777" w:rsidR="00817793" w:rsidRDefault="00817793"/>
    <w:p w14:paraId="77882BCD" w14:textId="77777777" w:rsidR="002B37A8" w:rsidRDefault="002B37A8"/>
    <w:p w14:paraId="6B41195A" w14:textId="77777777" w:rsidR="002B37A8" w:rsidRDefault="002B37A8"/>
    <w:p w14:paraId="4CE22C3B" w14:textId="77777777" w:rsidR="002B37A8" w:rsidRDefault="002B37A8"/>
    <w:p w14:paraId="5937A69B" w14:textId="77777777" w:rsidR="002B37A8" w:rsidRDefault="002B37A8"/>
    <w:p w14:paraId="4F59727C" w14:textId="77777777" w:rsidR="002B37A8" w:rsidRDefault="002B37A8"/>
    <w:p w14:paraId="03807795" w14:textId="77777777" w:rsidR="002B37A8" w:rsidRDefault="002B37A8"/>
    <w:p w14:paraId="783A0BFF" w14:textId="77777777" w:rsidR="00416CCE" w:rsidRDefault="00416CCE"/>
    <w:p w14:paraId="0963C2F7" w14:textId="77777777" w:rsidR="00416CCE" w:rsidRDefault="00416CCE"/>
    <w:p w14:paraId="214BAAE2" w14:textId="77777777" w:rsidR="00416CCE" w:rsidRDefault="00416CCE"/>
    <w:p w14:paraId="73687E93" w14:textId="77777777" w:rsidR="00416CCE" w:rsidRDefault="00416CCE"/>
    <w:p w14:paraId="6C775662" w14:textId="77777777" w:rsidR="00416CCE" w:rsidRDefault="00416CCE"/>
    <w:p w14:paraId="7BE3C658" w14:textId="77777777" w:rsidR="00416CCE" w:rsidRDefault="00416CCE"/>
    <w:p w14:paraId="7F67F38E" w14:textId="77777777" w:rsidR="00416CCE" w:rsidRDefault="00416CCE"/>
    <w:p w14:paraId="1E1FD04F" w14:textId="77777777" w:rsidR="00416CCE" w:rsidRDefault="00416CCE"/>
    <w:p w14:paraId="6D400848" w14:textId="77777777" w:rsidR="00416CCE" w:rsidRDefault="00416CCE"/>
    <w:p w14:paraId="6B031564" w14:textId="77777777" w:rsidR="00817793" w:rsidRDefault="002719FC">
      <w:pPr>
        <w:spacing w:before="120"/>
        <w:rPr>
          <w:b/>
          <w:sz w:val="28"/>
          <w:szCs w:val="28"/>
        </w:rPr>
      </w:pPr>
      <w:r>
        <w:rPr>
          <w:b/>
          <w:sz w:val="28"/>
          <w:szCs w:val="28"/>
        </w:rPr>
        <w:lastRenderedPageBreak/>
        <w:t>LISTA DE QUADROS</w:t>
      </w:r>
    </w:p>
    <w:sdt>
      <w:sdtPr>
        <w:id w:val="-1116517514"/>
        <w:docPartObj>
          <w:docPartGallery w:val="Table of Contents"/>
          <w:docPartUnique/>
        </w:docPartObj>
      </w:sdtPr>
      <w:sdtContent>
        <w:p w14:paraId="0BBF0CC3" w14:textId="77777777" w:rsidR="00817793" w:rsidRDefault="002719FC">
          <w:pPr>
            <w:widowControl w:val="0"/>
            <w:tabs>
              <w:tab w:val="right" w:pos="12000"/>
            </w:tabs>
            <w:spacing w:before="60" w:after="0" w:line="240" w:lineRule="auto"/>
            <w:jc w:val="left"/>
            <w:rPr>
              <w:rFonts w:ascii="Arial" w:eastAsia="Arial" w:hAnsi="Arial" w:cs="Arial"/>
              <w:b/>
              <w:color w:val="000000"/>
            </w:rPr>
          </w:pPr>
          <w:r>
            <w:fldChar w:fldCharType="begin"/>
          </w:r>
          <w:r>
            <w:instrText xml:space="preserve"> TOC \h \u \z \t "Heading 4,1,Heading 6,6,"</w:instrText>
          </w:r>
          <w:r>
            <w:fldChar w:fldCharType="separate"/>
          </w:r>
          <w:hyperlink>
            <w:r>
              <w:rPr>
                <w:color w:val="000000"/>
              </w:rPr>
              <w:t>Quadro 1. Identificação da(s) proposta(s) de atualização do rol analisada(s) no presente documento</w:t>
            </w:r>
            <w:r>
              <w:rPr>
                <w:color w:val="000000"/>
              </w:rPr>
              <w:tab/>
              <w:t>9</w:t>
            </w:r>
          </w:hyperlink>
        </w:p>
        <w:p w14:paraId="02A29A84"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klh5pc50ceji">
            <w:r>
              <w:rPr>
                <w:color w:val="000000"/>
              </w:rPr>
              <w:t>Quadro 2. Resumo executivo</w:t>
            </w:r>
            <w:r>
              <w:rPr>
                <w:color w:val="000000"/>
              </w:rPr>
              <w:tab/>
              <w:t>10</w:t>
            </w:r>
          </w:hyperlink>
        </w:p>
        <w:p w14:paraId="5ED88E40"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3hyod2gi2700">
            <w:r>
              <w:rPr>
                <w:color w:val="000000"/>
              </w:rPr>
              <w:t>Quadro 3. Ficha técnica da tecnologia</w:t>
            </w:r>
            <w:r>
              <w:rPr>
                <w:color w:val="000000"/>
              </w:rPr>
              <w:tab/>
              <w:t>23</w:t>
            </w:r>
          </w:hyperlink>
        </w:p>
        <w:p w14:paraId="11768C13"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1ksv4uv">
            <w:r>
              <w:rPr>
                <w:color w:val="000000"/>
              </w:rPr>
              <w:t>Quadro 4. Pergunta estruturada (PICOS) (versão do PROPONENTE e do PARECERISTA)</w:t>
            </w:r>
            <w:r>
              <w:rPr>
                <w:color w:val="000000"/>
              </w:rPr>
              <w:tab/>
              <w:t>26</w:t>
            </w:r>
          </w:hyperlink>
        </w:p>
        <w:p w14:paraId="2C501EBB"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87jjvwqbmdj9">
            <w:r>
              <w:rPr>
                <w:color w:val="000000"/>
              </w:rPr>
              <w:t>Quadro 5. Critérios de elegibilidade (versão do PROPONENTE e do PARECERISTA)</w:t>
            </w:r>
            <w:r>
              <w:rPr>
                <w:color w:val="000000"/>
              </w:rPr>
              <w:tab/>
              <w:t>29</w:t>
            </w:r>
          </w:hyperlink>
        </w:p>
        <w:p w14:paraId="0933F187"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cdfnwonx9r4j">
            <w:r>
              <w:rPr>
                <w:color w:val="000000"/>
              </w:rPr>
              <w:t>Quadro 6. Estratégias de busca em bases eletrônicas (versão do PROPONENTE e do PARECERISTA)</w:t>
            </w:r>
            <w:r>
              <w:rPr>
                <w:color w:val="000000"/>
              </w:rPr>
              <w:tab/>
              <w:t>30</w:t>
            </w:r>
          </w:hyperlink>
        </w:p>
        <w:p w14:paraId="24D2B994"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sd8nh93f48v1">
            <w:r>
              <w:rPr>
                <w:color w:val="000000"/>
              </w:rPr>
              <w:t>Quadro 7. Fontes de buscas adicionais (versão do proponente e do parecerista)</w:t>
            </w:r>
            <w:r>
              <w:rPr>
                <w:color w:val="000000"/>
              </w:rPr>
              <w:tab/>
              <w:t>31</w:t>
            </w:r>
          </w:hyperlink>
        </w:p>
        <w:p w14:paraId="347A3A9E"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w76ykdja3v2f">
            <w:r>
              <w:rPr>
                <w:color w:val="000000"/>
              </w:rPr>
              <w:t>Quadro 8. Características do processo de seleção dos estudos e extração de dados (versão do PROPONENTE e do PARECERISTA)</w:t>
            </w:r>
            <w:r>
              <w:rPr>
                <w:color w:val="000000"/>
              </w:rPr>
              <w:tab/>
              <w:t>32</w:t>
            </w:r>
          </w:hyperlink>
        </w:p>
        <w:p w14:paraId="29FF1290"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myy8lhg2hm8j">
            <w:r>
              <w:rPr>
                <w:color w:val="000000"/>
              </w:rPr>
              <w:t>Quadro 9. Estudos excluídos e razões para exclusão (versão do PROPONENTE e do PARECERISTA)</w:t>
            </w:r>
            <w:r>
              <w:rPr>
                <w:color w:val="000000"/>
              </w:rPr>
              <w:tab/>
              <w:t>36</w:t>
            </w:r>
          </w:hyperlink>
        </w:p>
        <w:p w14:paraId="11FB1B1B"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t13nsp73yhtt">
            <w:r>
              <w:rPr>
                <w:color w:val="000000"/>
              </w:rPr>
              <w:t>Quadro 10. Estudos em andamento (versão do PROPONENTE e do PARECERISTA)</w:t>
            </w:r>
            <w:r>
              <w:rPr>
                <w:color w:val="000000"/>
              </w:rPr>
              <w:tab/>
              <w:t>40</w:t>
            </w:r>
          </w:hyperlink>
        </w:p>
        <w:p w14:paraId="49B57A07"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ckkco4yy27mx">
            <w:r>
              <w:rPr>
                <w:color w:val="000000"/>
              </w:rPr>
              <w:t>Quadro 11. Características dos estudos incluídos apresentada pelo PROPONENTE</w:t>
            </w:r>
            <w:r>
              <w:rPr>
                <w:color w:val="000000"/>
              </w:rPr>
              <w:tab/>
              <w:t>47</w:t>
            </w:r>
          </w:hyperlink>
        </w:p>
        <w:p w14:paraId="30A2B5D9"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s9o0yj5t3xq2">
            <w:r>
              <w:rPr>
                <w:color w:val="000000"/>
              </w:rPr>
              <w:t>Quadro 12. Características dos estudos incluídos na análise do PARECERISTA.</w:t>
            </w:r>
            <w:r>
              <w:rPr>
                <w:color w:val="000000"/>
              </w:rPr>
              <w:tab/>
              <w:t>47</w:t>
            </w:r>
          </w:hyperlink>
        </w:p>
        <w:p w14:paraId="6B804371"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m3wd3yzatbga">
            <w:r>
              <w:rPr>
                <w:color w:val="000000"/>
              </w:rPr>
              <w:t>Quadro 13. Resultados, por desfecho, dos estudos incluídos na análise do PARECERISTA</w:t>
            </w:r>
            <w:r>
              <w:rPr>
                <w:color w:val="000000"/>
              </w:rPr>
              <w:tab/>
              <w:t>52</w:t>
            </w:r>
          </w:hyperlink>
        </w:p>
        <w:p w14:paraId="21A9E0A4"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u5f5a7du28kt">
            <w:r>
              <w:rPr>
                <w:color w:val="000000"/>
              </w:rPr>
              <w:t>Quadro 14. Características do processo de avaliação do risco de viés ou qualidade metodológica dos estudos incluídos.</w:t>
            </w:r>
            <w:r>
              <w:rPr>
                <w:color w:val="000000"/>
              </w:rPr>
              <w:tab/>
              <w:t>58</w:t>
            </w:r>
          </w:hyperlink>
        </w:p>
        <w:p w14:paraId="38AE74A0"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4lqoy2d5oskt">
            <w:r>
              <w:rPr>
                <w:color w:val="000000"/>
              </w:rPr>
              <w:t>Quadro 15. Risco de viés ou qualidade metodológica dos estudos incluídos apresentado pelo PROPONENTE</w:t>
            </w:r>
            <w:r>
              <w:rPr>
                <w:color w:val="000000"/>
              </w:rPr>
              <w:tab/>
              <w:t>59</w:t>
            </w:r>
          </w:hyperlink>
        </w:p>
        <w:p w14:paraId="65CD429C"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rd1wypsrm1b1">
            <w:r>
              <w:rPr>
                <w:color w:val="000000"/>
              </w:rPr>
              <w:t>Quadro 16. Risco de viés ou qualidade metodológica dos estudos incluídos na análise do PARECERISTA.</w:t>
            </w:r>
            <w:r>
              <w:rPr>
                <w:color w:val="000000"/>
              </w:rPr>
              <w:tab/>
              <w:t>59</w:t>
            </w:r>
          </w:hyperlink>
        </w:p>
        <w:p w14:paraId="1D56AE0C"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mijy34wwo7hd">
            <w:r>
              <w:rPr>
                <w:color w:val="000000"/>
              </w:rPr>
              <w:t>Quadro 17. Avaliação da certeza no conjunto final das evidências (abordagem GRADE) apresentada pelo PROPONENTE</w:t>
            </w:r>
            <w:r>
              <w:rPr>
                <w:color w:val="000000"/>
              </w:rPr>
              <w:tab/>
              <w:t>73</w:t>
            </w:r>
          </w:hyperlink>
        </w:p>
        <w:p w14:paraId="04A19964"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pd0chjtfp5y2">
            <w:r>
              <w:rPr>
                <w:color w:val="000000"/>
              </w:rPr>
              <w:t>Quadro 18. Avaliação da certeza no conjunto final das evidências (abordagem GRADE) apresentada na análise do PARECERISTA</w:t>
            </w:r>
            <w:r>
              <w:rPr>
                <w:color w:val="000000"/>
              </w:rPr>
              <w:tab/>
              <w:t>74</w:t>
            </w:r>
          </w:hyperlink>
        </w:p>
        <w:p w14:paraId="2A66FB81"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9697lhna1ygz">
            <w:r>
              <w:rPr>
                <w:color w:val="000000"/>
              </w:rPr>
              <w:t>Quadro 19. Componentes da discussão e das conclusões.</w:t>
            </w:r>
            <w:r>
              <w:rPr>
                <w:color w:val="000000"/>
              </w:rPr>
              <w:tab/>
              <w:t>77</w:t>
            </w:r>
          </w:hyperlink>
        </w:p>
        <w:p w14:paraId="3CC10F30"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u3kkxmnihg3">
            <w:r>
              <w:rPr>
                <w:color w:val="000000"/>
              </w:rPr>
              <w:t>Quadro 20. Componentes dos elementos pós-texto</w:t>
            </w:r>
            <w:r>
              <w:rPr>
                <w:color w:val="000000"/>
              </w:rPr>
              <w:tab/>
              <w:t>80</w:t>
            </w:r>
          </w:hyperlink>
        </w:p>
        <w:p w14:paraId="724D5F61"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smh5z22igz9y">
            <w:r>
              <w:rPr>
                <w:color w:val="000000"/>
              </w:rPr>
              <w:t>Quadro 21. Parâmetros da avaliação econômica.</w:t>
            </w:r>
            <w:r>
              <w:rPr>
                <w:color w:val="000000"/>
              </w:rPr>
              <w:tab/>
              <w:t>82</w:t>
            </w:r>
          </w:hyperlink>
        </w:p>
        <w:p w14:paraId="3C2F484E"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qnqyhbeo2poi">
            <w:r>
              <w:rPr>
                <w:color w:val="000000"/>
              </w:rPr>
              <w:t>Quadro 22. Principais resultados apresentados pelo PROPONENTE</w:t>
            </w:r>
            <w:r>
              <w:rPr>
                <w:color w:val="000000"/>
              </w:rPr>
              <w:tab/>
              <w:t>93</w:t>
            </w:r>
          </w:hyperlink>
        </w:p>
        <w:p w14:paraId="247F00FC"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5wa330cd00kg">
            <w:r>
              <w:rPr>
                <w:color w:val="000000"/>
              </w:rPr>
              <w:t>Quadro 23. Razão de custo-utilidade incremental (RCUI) da avaliação econômica elaborada pelo PROPONENTE</w:t>
            </w:r>
            <w:r>
              <w:rPr>
                <w:color w:val="000000"/>
              </w:rPr>
              <w:tab/>
              <w:t>95</w:t>
            </w:r>
          </w:hyperlink>
        </w:p>
        <w:p w14:paraId="66AA268D"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hgxjm28np12">
            <w:r>
              <w:rPr>
                <w:color w:val="000000"/>
              </w:rPr>
              <w:t>Quadro 24. Componentes da discussão e conclusões</w:t>
            </w:r>
            <w:r>
              <w:rPr>
                <w:color w:val="000000"/>
              </w:rPr>
              <w:tab/>
              <w:t>96</w:t>
            </w:r>
          </w:hyperlink>
        </w:p>
        <w:p w14:paraId="06F93361"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g9xi4hc5crz">
            <w:r>
              <w:rPr>
                <w:color w:val="000000"/>
              </w:rPr>
              <w:t>Quadro 25. Elementos pós-texto</w:t>
            </w:r>
            <w:r>
              <w:rPr>
                <w:color w:val="000000"/>
              </w:rPr>
              <w:tab/>
              <w:t>97</w:t>
            </w:r>
          </w:hyperlink>
        </w:p>
        <w:p w14:paraId="7CBD9AEE"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kp7hiachx3mu">
            <w:r>
              <w:rPr>
                <w:color w:val="000000"/>
              </w:rPr>
              <w:t>Quadro 26. Principais parâmetros da AIO (versão do PROPONENTE e do PARECERISTA)</w:t>
            </w:r>
            <w:r>
              <w:rPr>
                <w:color w:val="000000"/>
              </w:rPr>
              <w:tab/>
              <w:t>98</w:t>
            </w:r>
          </w:hyperlink>
        </w:p>
        <w:p w14:paraId="216BA52D"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qilgjpfb842t">
            <w:r>
              <w:rPr>
                <w:color w:val="000000"/>
              </w:rPr>
              <w:t>Quadro 27. Estimativa da população elegível (versão do PROPONENTE e do PARECERISTA)</w:t>
            </w:r>
            <w:r>
              <w:rPr>
                <w:color w:val="000000"/>
              </w:rPr>
              <w:tab/>
              <w:t>105</w:t>
            </w:r>
          </w:hyperlink>
        </w:p>
        <w:p w14:paraId="2D2254A6"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2br9bopmxwz">
            <w:r>
              <w:rPr>
                <w:color w:val="000000"/>
              </w:rPr>
              <w:t>Quadro 28.  Progressão estimada de participação no mercado apresentada pelo PROPONENTE.</w:t>
            </w:r>
            <w:r>
              <w:rPr>
                <w:color w:val="000000"/>
              </w:rPr>
              <w:tab/>
              <w:t>106</w:t>
            </w:r>
          </w:hyperlink>
        </w:p>
        <w:p w14:paraId="20464838"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fvrx7ramyrgc">
            <w:r>
              <w:rPr>
                <w:color w:val="000000"/>
              </w:rPr>
              <w:t>Quadro 29.  Progressão estimada de participação no mercado apresentada pelo PARECERISTA.</w:t>
            </w:r>
            <w:r>
              <w:rPr>
                <w:color w:val="000000"/>
              </w:rPr>
              <w:tab/>
              <w:t>107</w:t>
            </w:r>
          </w:hyperlink>
        </w:p>
        <w:p w14:paraId="2D4EDD18"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6zh2e9dsg2qv">
            <w:r>
              <w:rPr>
                <w:color w:val="000000"/>
              </w:rPr>
              <w:t>Quadro 30. Resumo dos resultados da AIO</w:t>
            </w:r>
            <w:r>
              <w:rPr>
                <w:color w:val="000000"/>
              </w:rPr>
              <w:tab/>
              <w:t>108</w:t>
            </w:r>
          </w:hyperlink>
        </w:p>
        <w:p w14:paraId="05DD3227"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2x22n05v8x3m">
            <w:r>
              <w:rPr>
                <w:color w:val="000000"/>
              </w:rPr>
              <w:t>Quadro 31.  Parâmetros de custo e fontes de dados (versão do PROPONENTE e do PARECERISTA)</w:t>
            </w:r>
            <w:r>
              <w:rPr>
                <w:color w:val="000000"/>
              </w:rPr>
              <w:tab/>
              <w:t>109</w:t>
            </w:r>
          </w:hyperlink>
        </w:p>
        <w:p w14:paraId="073C31B1"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r>
              <w:rPr>
                <w:color w:val="000000"/>
              </w:rPr>
              <w:t>Quadro 32. Impacto orçamentário total (versão do PROPONENTE e do PARECERISTA)</w:t>
            </w:r>
            <w:r>
              <w:rPr>
                <w:color w:val="000000"/>
              </w:rPr>
              <w:tab/>
              <w:t>111</w:t>
            </w:r>
          </w:hyperlink>
        </w:p>
        <w:p w14:paraId="7BF357F5"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9uj32p3du570">
            <w:r>
              <w:rPr>
                <w:color w:val="000000"/>
              </w:rPr>
              <w:t>Quadro 33. Impacto orçamentário incremental (versão do PROPONENTE e do PARECERISTA)</w:t>
            </w:r>
            <w:r>
              <w:rPr>
                <w:color w:val="000000"/>
              </w:rPr>
              <w:tab/>
              <w:t>112</w:t>
            </w:r>
          </w:hyperlink>
        </w:p>
        <w:p w14:paraId="2D369E65"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jt92ahomwruv">
            <w:r>
              <w:rPr>
                <w:color w:val="000000"/>
              </w:rPr>
              <w:t>Quadro 34. Componentes da discussão e das conclusões</w:t>
            </w:r>
            <w:r>
              <w:rPr>
                <w:color w:val="000000"/>
              </w:rPr>
              <w:tab/>
              <w:t>113</w:t>
            </w:r>
          </w:hyperlink>
        </w:p>
        <w:p w14:paraId="08DD09EF"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r7dcz8auo954">
            <w:r>
              <w:rPr>
                <w:color w:val="000000"/>
              </w:rPr>
              <w:t>Quadro 35. Elementos pós-texto</w:t>
            </w:r>
            <w:r>
              <w:rPr>
                <w:color w:val="000000"/>
              </w:rPr>
              <w:tab/>
              <w:t>114</w:t>
            </w:r>
          </w:hyperlink>
        </w:p>
        <w:p w14:paraId="689602C7" w14:textId="77777777" w:rsidR="00817793" w:rsidRDefault="002719FC">
          <w:pPr>
            <w:widowControl w:val="0"/>
            <w:tabs>
              <w:tab w:val="right" w:pos="12000"/>
            </w:tabs>
            <w:spacing w:before="60" w:after="0" w:line="240" w:lineRule="auto"/>
            <w:jc w:val="left"/>
            <w:rPr>
              <w:rFonts w:ascii="Arial" w:eastAsia="Arial" w:hAnsi="Arial" w:cs="Arial"/>
              <w:b/>
              <w:color w:val="000000"/>
            </w:rPr>
          </w:pPr>
          <w:hyperlink w:anchor="_3uwv8lxhkfcw">
            <w:r>
              <w:rPr>
                <w:color w:val="000000"/>
              </w:rPr>
              <w:t>Quadro 36. Avaliação de outras agências de ATS</w:t>
            </w:r>
            <w:r>
              <w:rPr>
                <w:color w:val="000000"/>
              </w:rPr>
              <w:tab/>
              <w:t>115</w:t>
            </w:r>
          </w:hyperlink>
          <w:r>
            <w:fldChar w:fldCharType="end"/>
          </w:r>
        </w:p>
      </w:sdtContent>
    </w:sdt>
    <w:p w14:paraId="19219836" w14:textId="77777777" w:rsidR="00817793" w:rsidRDefault="00817793"/>
    <w:p w14:paraId="00B1D9F4" w14:textId="77777777" w:rsidR="00242597" w:rsidRDefault="00242597"/>
    <w:p w14:paraId="4801D07A" w14:textId="77777777" w:rsidR="00242597" w:rsidRDefault="00242597"/>
    <w:p w14:paraId="7DAD3ED3" w14:textId="77777777" w:rsidR="00416CCE" w:rsidRDefault="00416CCE"/>
    <w:p w14:paraId="71BC3F32" w14:textId="77777777" w:rsidR="00416CCE" w:rsidRDefault="00416CCE"/>
    <w:p w14:paraId="40585586" w14:textId="77777777" w:rsidR="00416CCE" w:rsidRDefault="00416CCE"/>
    <w:p w14:paraId="7E003015" w14:textId="77777777" w:rsidR="00416CCE" w:rsidRDefault="00416CCE"/>
    <w:p w14:paraId="3806B393" w14:textId="77777777" w:rsidR="00416CCE" w:rsidRDefault="00416CCE"/>
    <w:p w14:paraId="2237F130" w14:textId="77777777" w:rsidR="00416CCE" w:rsidRDefault="00416CCE"/>
    <w:p w14:paraId="6040227D" w14:textId="77777777" w:rsidR="00416CCE" w:rsidRDefault="00416CCE"/>
    <w:p w14:paraId="6F5039DA" w14:textId="77777777" w:rsidR="00416CCE" w:rsidRDefault="00416CCE"/>
    <w:p w14:paraId="64F3EB2B" w14:textId="77777777" w:rsidR="00416CCE" w:rsidRDefault="00416CCE"/>
    <w:p w14:paraId="7D44EB84" w14:textId="77777777" w:rsidR="00416CCE" w:rsidRDefault="00416CCE"/>
    <w:p w14:paraId="64838412" w14:textId="77777777" w:rsidR="00416CCE" w:rsidRDefault="00416CCE"/>
    <w:p w14:paraId="40FA5B7C" w14:textId="77777777" w:rsidR="00416CCE" w:rsidRDefault="00416CCE"/>
    <w:p w14:paraId="67B7E8E4" w14:textId="77777777" w:rsidR="00817793" w:rsidRDefault="002719FC">
      <w:pPr>
        <w:spacing w:before="120"/>
        <w:rPr>
          <w:b/>
          <w:sz w:val="28"/>
          <w:szCs w:val="28"/>
        </w:rPr>
      </w:pPr>
      <w:r>
        <w:rPr>
          <w:b/>
          <w:sz w:val="28"/>
          <w:szCs w:val="28"/>
        </w:rPr>
        <w:lastRenderedPageBreak/>
        <w:t>LISTA DE ANEXOS</w:t>
      </w:r>
    </w:p>
    <w:sdt>
      <w:sdtPr>
        <w:id w:val="1144624203"/>
        <w:docPartObj>
          <w:docPartGallery w:val="Table of Contents"/>
          <w:docPartUnique/>
        </w:docPartObj>
      </w:sdtPr>
      <w:sdtContent>
        <w:p w14:paraId="624DFE87" w14:textId="77777777" w:rsidR="00817793" w:rsidRDefault="002719FC">
          <w:pPr>
            <w:widowControl w:val="0"/>
            <w:spacing w:before="60" w:after="0" w:line="240" w:lineRule="auto"/>
            <w:jc w:val="left"/>
            <w:rPr>
              <w:rFonts w:ascii="Arial" w:eastAsia="Arial" w:hAnsi="Arial" w:cs="Arial"/>
              <w:b/>
              <w:color w:val="000000"/>
            </w:rPr>
          </w:pPr>
          <w:r>
            <w:fldChar w:fldCharType="begin"/>
          </w:r>
          <w:r>
            <w:instrText xml:space="preserve"> TOC \h \u \z \n \t "Heading 5,1,Heading 6,6,"</w:instrText>
          </w:r>
          <w:r>
            <w:fldChar w:fldCharType="separate"/>
          </w:r>
          <w:hyperlink w:anchor="_37mb4igutgex">
            <w:r>
              <w:rPr>
                <w:color w:val="000000"/>
              </w:rPr>
              <w:t>Anexo 1. Checklist de análise crítica: Avaliação econômica de tecnologias em saúde no processo de atualização do Rol da ANS.</w:t>
            </w:r>
          </w:hyperlink>
        </w:p>
        <w:p w14:paraId="0D7E3113" w14:textId="77777777" w:rsidR="00817793" w:rsidRDefault="002719FC">
          <w:pPr>
            <w:widowControl w:val="0"/>
            <w:spacing w:before="60" w:after="0" w:line="240" w:lineRule="auto"/>
            <w:jc w:val="left"/>
            <w:rPr>
              <w:rFonts w:ascii="Arial" w:eastAsia="Arial" w:hAnsi="Arial" w:cs="Arial"/>
              <w:b/>
              <w:color w:val="000000"/>
            </w:rPr>
          </w:pPr>
          <w:hyperlink w:anchor="_rhb7ntioa320">
            <w:r>
              <w:rPr>
                <w:color w:val="000000"/>
              </w:rPr>
              <w:t>Anexo 2. Checklist de análise crítica: Análise de impacto orçamentário de tecnologias em saúde no processo de atualização do Rol da ANS.</w:t>
            </w:r>
          </w:hyperlink>
        </w:p>
        <w:p w14:paraId="0BB8B0F9" w14:textId="77777777" w:rsidR="00817793" w:rsidRDefault="002719FC">
          <w:pPr>
            <w:widowControl w:val="0"/>
            <w:spacing w:before="60" w:after="0" w:line="240" w:lineRule="auto"/>
            <w:jc w:val="left"/>
            <w:rPr>
              <w:rFonts w:ascii="Arial" w:eastAsia="Arial" w:hAnsi="Arial" w:cs="Arial"/>
              <w:b/>
              <w:color w:val="000000"/>
            </w:rPr>
          </w:pPr>
          <w:hyperlink w:anchor="_jbkn59sujks4">
            <w:r>
              <w:rPr>
                <w:color w:val="000000"/>
              </w:rPr>
              <w:t>Anexo 3. Planilha de impacto orçamentário elaborada pelo PARECERISTA (anexo externo).</w:t>
            </w:r>
          </w:hyperlink>
        </w:p>
        <w:p w14:paraId="3C24BAA6" w14:textId="77777777" w:rsidR="00817793" w:rsidRDefault="002719FC">
          <w:pPr>
            <w:widowControl w:val="0"/>
            <w:spacing w:before="60" w:after="0" w:line="240" w:lineRule="auto"/>
            <w:jc w:val="left"/>
            <w:rPr>
              <w:rFonts w:ascii="Arial" w:eastAsia="Arial" w:hAnsi="Arial" w:cs="Arial"/>
              <w:b/>
              <w:color w:val="000000"/>
            </w:rPr>
          </w:pPr>
          <w:hyperlink w:anchor="_zijx9sefrp2t">
            <w:r>
              <w:rPr>
                <w:color w:val="000000"/>
              </w:rPr>
              <w:t>Anexo 4. Declaração de potenciais conflitos de interesses (anexo externo).</w:t>
            </w:r>
          </w:hyperlink>
          <w:r>
            <w:fldChar w:fldCharType="end"/>
          </w:r>
        </w:p>
      </w:sdtContent>
    </w:sdt>
    <w:p w14:paraId="65F9C3DC" w14:textId="77777777" w:rsidR="00817793" w:rsidRDefault="00817793">
      <w:pPr>
        <w:rPr>
          <w:i/>
          <w:color w:val="FF0000"/>
        </w:rPr>
      </w:pPr>
      <w:bookmarkStart w:id="0" w:name="_gjdgxs" w:colFirst="0" w:colLast="0"/>
      <w:bookmarkEnd w:id="0"/>
    </w:p>
    <w:p w14:paraId="5023141B" w14:textId="77777777" w:rsidR="00817793" w:rsidRDefault="00817793">
      <w:bookmarkStart w:id="1" w:name="_klh5pc50ceji" w:colFirst="0" w:colLast="0"/>
      <w:bookmarkEnd w:id="1"/>
    </w:p>
    <w:p w14:paraId="1F3B1409" w14:textId="77777777" w:rsidR="00817793" w:rsidRDefault="002719FC">
      <w:pPr>
        <w:spacing w:before="120"/>
        <w:rPr>
          <w:b/>
          <w:sz w:val="28"/>
          <w:szCs w:val="28"/>
        </w:rPr>
      </w:pPr>
      <w:r>
        <w:br w:type="page"/>
      </w:r>
    </w:p>
    <w:p w14:paraId="7A1BD0E6" w14:textId="77777777" w:rsidR="00817793" w:rsidRDefault="002719FC">
      <w:pPr>
        <w:pStyle w:val="Ttulo1"/>
      </w:pPr>
      <w:bookmarkStart w:id="2" w:name="_30j0zll" w:colFirst="0" w:colLast="0"/>
      <w:bookmarkEnd w:id="2"/>
      <w:r>
        <w:lastRenderedPageBreak/>
        <w:t>1. IDENTIFICAÇÃO</w:t>
      </w:r>
    </w:p>
    <w:p w14:paraId="7057BDD5" w14:textId="77777777" w:rsidR="00817793" w:rsidRDefault="002719FC">
      <w:pPr>
        <w:rPr>
          <w:b/>
          <w:highlight w:val="yellow"/>
        </w:rPr>
      </w:pPr>
      <w:r>
        <w:t xml:space="preserve">Esse relatório se refere à análise crítica de proposta de atualização do Rol de Procedimentos e Eventos em Saúde apresentada à Agência Nacional de Saúde Suplementar por meio do </w:t>
      </w:r>
      <w:proofErr w:type="spellStart"/>
      <w:r>
        <w:t>FormRol</w:t>
      </w:r>
      <w:proofErr w:type="spellEnd"/>
      <w:r>
        <w:t xml:space="preserve">. Trata de aspectos relativos à eficácia, à efetividade, à segurança, à custo-efetividade e ao impacto orçamentário do ANIFROLUMABE para pacientes com LÚPUS ERITEMATOSO SISTÊMICO (LES) COM MODERADA A ALTA ATIVIDADE DA DOENÇA E FALHA À TERAPIA TRIPLA, visando avaliar sua INCORPORAÇÃO, no Rol. </w:t>
      </w:r>
    </w:p>
    <w:p w14:paraId="25E69CB0" w14:textId="77777777" w:rsidR="00817793" w:rsidRDefault="002719FC">
      <w:pPr>
        <w:pStyle w:val="Ttulo4"/>
      </w:pPr>
      <w:r>
        <w:rPr>
          <w:b/>
        </w:rPr>
        <w:t xml:space="preserve">Quadro 1. </w:t>
      </w:r>
      <w:r>
        <w:t>Identificação da(s) proposta(s) de atualização do rol analisada(s) no presente documento</w:t>
      </w:r>
    </w:p>
    <w:tbl>
      <w:tblPr>
        <w:tblStyle w:val="a"/>
        <w:tblW w:w="8952"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8"/>
        <w:gridCol w:w="1843"/>
        <w:gridCol w:w="5521"/>
      </w:tblGrid>
      <w:tr w:rsidR="00817793" w14:paraId="472B005D" w14:textId="77777777">
        <w:tc>
          <w:tcPr>
            <w:tcW w:w="1588" w:type="dxa"/>
            <w:shd w:val="clear" w:color="auto" w:fill="D9E2F3"/>
          </w:tcPr>
          <w:p w14:paraId="2100A2D5" w14:textId="77777777" w:rsidR="00817793" w:rsidRDefault="002719FC">
            <w:pPr>
              <w:spacing w:before="120" w:after="120"/>
              <w:jc w:val="center"/>
              <w:rPr>
                <w:b/>
              </w:rPr>
            </w:pPr>
            <w:r>
              <w:rPr>
                <w:b/>
              </w:rPr>
              <w:t>Nº de Protocolo</w:t>
            </w:r>
          </w:p>
        </w:tc>
        <w:tc>
          <w:tcPr>
            <w:tcW w:w="1843" w:type="dxa"/>
            <w:shd w:val="clear" w:color="auto" w:fill="D9E2F3"/>
          </w:tcPr>
          <w:p w14:paraId="75FBCC2D" w14:textId="77777777" w:rsidR="00817793" w:rsidRDefault="002719FC">
            <w:pPr>
              <w:spacing w:before="120" w:after="120"/>
              <w:jc w:val="center"/>
              <w:rPr>
                <w:b/>
              </w:rPr>
            </w:pPr>
            <w:r>
              <w:rPr>
                <w:b/>
              </w:rPr>
              <w:t>Nº da Unidade</w:t>
            </w:r>
          </w:p>
        </w:tc>
        <w:tc>
          <w:tcPr>
            <w:tcW w:w="5521" w:type="dxa"/>
            <w:shd w:val="clear" w:color="auto" w:fill="D9E2F3"/>
          </w:tcPr>
          <w:p w14:paraId="6B23C826" w14:textId="77777777" w:rsidR="00817793" w:rsidRDefault="002719FC">
            <w:pPr>
              <w:spacing w:before="120" w:after="120"/>
              <w:jc w:val="center"/>
              <w:rPr>
                <w:b/>
                <w:highlight w:val="cyan"/>
              </w:rPr>
            </w:pPr>
            <w:r>
              <w:rPr>
                <w:b/>
              </w:rPr>
              <w:t>Proponente</w:t>
            </w:r>
          </w:p>
        </w:tc>
      </w:tr>
      <w:tr w:rsidR="00817793" w14:paraId="4868936A" w14:textId="77777777">
        <w:tc>
          <w:tcPr>
            <w:tcW w:w="1588" w:type="dxa"/>
          </w:tcPr>
          <w:p w14:paraId="2D52E32B" w14:textId="77777777" w:rsidR="00817793" w:rsidRDefault="002719FC">
            <w:pPr>
              <w:spacing w:before="120" w:after="120"/>
              <w:rPr>
                <w:sz w:val="20"/>
                <w:szCs w:val="20"/>
              </w:rPr>
            </w:pPr>
            <w:r>
              <w:rPr>
                <w:sz w:val="20"/>
                <w:szCs w:val="20"/>
              </w:rPr>
              <w:t>20242000246</w:t>
            </w:r>
          </w:p>
        </w:tc>
        <w:tc>
          <w:tcPr>
            <w:tcW w:w="1843" w:type="dxa"/>
          </w:tcPr>
          <w:p w14:paraId="5AEAFD28" w14:textId="77777777" w:rsidR="00817793" w:rsidRDefault="002719FC">
            <w:pPr>
              <w:spacing w:before="120" w:after="120"/>
              <w:rPr>
                <w:sz w:val="20"/>
                <w:szCs w:val="20"/>
              </w:rPr>
            </w:pPr>
            <w:r>
              <w:rPr>
                <w:sz w:val="20"/>
                <w:szCs w:val="20"/>
              </w:rPr>
              <w:t>UAT-154</w:t>
            </w:r>
          </w:p>
        </w:tc>
        <w:tc>
          <w:tcPr>
            <w:tcW w:w="5521" w:type="dxa"/>
          </w:tcPr>
          <w:p w14:paraId="06A428D8" w14:textId="77777777" w:rsidR="00817793" w:rsidRDefault="002719FC">
            <w:pPr>
              <w:spacing w:before="120" w:after="120"/>
              <w:rPr>
                <w:sz w:val="20"/>
                <w:szCs w:val="20"/>
              </w:rPr>
            </w:pPr>
            <w:r>
              <w:rPr>
                <w:sz w:val="20"/>
                <w:szCs w:val="20"/>
              </w:rPr>
              <w:t xml:space="preserve"> AstraZeneca do Brasil LTDA</w:t>
            </w:r>
          </w:p>
        </w:tc>
      </w:tr>
    </w:tbl>
    <w:p w14:paraId="10123AB9" w14:textId="77777777" w:rsidR="00817793" w:rsidRDefault="002719FC">
      <w:pPr>
        <w:pBdr>
          <w:top w:val="nil"/>
          <w:left w:val="nil"/>
          <w:bottom w:val="nil"/>
          <w:right w:val="nil"/>
          <w:between w:val="nil"/>
        </w:pBdr>
        <w:ind w:left="720"/>
        <w:rPr>
          <w:b/>
          <w:smallCaps/>
          <w:color w:val="000000"/>
          <w:sz w:val="28"/>
          <w:szCs w:val="28"/>
        </w:rPr>
      </w:pPr>
      <w:r>
        <w:br w:type="page"/>
      </w:r>
    </w:p>
    <w:p w14:paraId="01B062C5" w14:textId="77777777" w:rsidR="00817793" w:rsidRDefault="002719FC">
      <w:pPr>
        <w:pStyle w:val="Ttulo1"/>
      </w:pPr>
      <w:bookmarkStart w:id="3" w:name="_1fob9te" w:colFirst="0" w:colLast="0"/>
      <w:bookmarkEnd w:id="3"/>
      <w:r>
        <w:lastRenderedPageBreak/>
        <w:t>2. RESUMO EXECUTIVO</w:t>
      </w:r>
    </w:p>
    <w:p w14:paraId="5CDBCF40" w14:textId="77777777" w:rsidR="00817793" w:rsidRDefault="002719FC">
      <w:pPr>
        <w:pStyle w:val="Ttulo4"/>
        <w:spacing w:before="0" w:after="0"/>
      </w:pPr>
      <w:r>
        <w:rPr>
          <w:b/>
          <w:smallCaps/>
        </w:rPr>
        <w:t>Q</w:t>
      </w:r>
      <w:r>
        <w:rPr>
          <w:b/>
        </w:rPr>
        <w:t xml:space="preserve">uadro 2. </w:t>
      </w:r>
      <w:r>
        <w:t>Resumo executivo</w:t>
      </w:r>
    </w:p>
    <w:tbl>
      <w:tblPr>
        <w:tblW w:w="9102"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51"/>
        <w:gridCol w:w="4551"/>
      </w:tblGrid>
      <w:tr w:rsidR="00817793" w14:paraId="7D9DD7A1" w14:textId="77777777" w:rsidTr="704C5938">
        <w:trPr>
          <w:trHeight w:val="417"/>
        </w:trPr>
        <w:tc>
          <w:tcPr>
            <w:tcW w:w="9102" w:type="dxa"/>
            <w:gridSpan w:val="2"/>
            <w:shd w:val="clear" w:color="auto" w:fill="D9E2F3"/>
            <w:vAlign w:val="center"/>
          </w:tcPr>
          <w:p w14:paraId="58B5B1E7" w14:textId="77777777" w:rsidR="00817793" w:rsidRDefault="002719FC">
            <w:pPr>
              <w:spacing w:before="120" w:after="120"/>
              <w:jc w:val="center"/>
              <w:rPr>
                <w:b/>
                <w:smallCaps/>
              </w:rPr>
            </w:pPr>
            <w:r>
              <w:rPr>
                <w:b/>
                <w:smallCaps/>
              </w:rPr>
              <w:t>TECNOLOGIA</w:t>
            </w:r>
          </w:p>
        </w:tc>
      </w:tr>
      <w:tr w:rsidR="00817793" w14:paraId="42BB914F" w14:textId="77777777" w:rsidTr="704C5938">
        <w:tc>
          <w:tcPr>
            <w:tcW w:w="9102" w:type="dxa"/>
            <w:gridSpan w:val="2"/>
            <w:vAlign w:val="center"/>
          </w:tcPr>
          <w:p w14:paraId="024845BF" w14:textId="77777777" w:rsidR="00817793" w:rsidRDefault="002719FC">
            <w:pPr>
              <w:jc w:val="center"/>
              <w:rPr>
                <w:i/>
                <w:smallCaps/>
                <w:color w:val="FF0000"/>
              </w:rPr>
            </w:pPr>
            <w:r>
              <w:t>ANIFROLUMABE</w:t>
            </w:r>
          </w:p>
        </w:tc>
      </w:tr>
      <w:tr w:rsidR="00817793" w14:paraId="07C61303" w14:textId="77777777" w:rsidTr="704C5938">
        <w:trPr>
          <w:trHeight w:val="429"/>
        </w:trPr>
        <w:tc>
          <w:tcPr>
            <w:tcW w:w="9102" w:type="dxa"/>
            <w:gridSpan w:val="2"/>
            <w:shd w:val="clear" w:color="auto" w:fill="D9E2F3"/>
            <w:vAlign w:val="center"/>
          </w:tcPr>
          <w:p w14:paraId="273FB327" w14:textId="77777777" w:rsidR="00817793" w:rsidRDefault="002719FC">
            <w:pPr>
              <w:spacing w:before="120" w:after="120"/>
              <w:rPr>
                <w:smallCaps/>
              </w:rPr>
            </w:pPr>
            <w:r>
              <w:rPr>
                <w:b/>
                <w:smallCaps/>
              </w:rPr>
              <w:t>INDICAÇÃO</w:t>
            </w:r>
          </w:p>
        </w:tc>
      </w:tr>
      <w:tr w:rsidR="00817793" w14:paraId="4819A313" w14:textId="77777777" w:rsidTr="704C5938">
        <w:tc>
          <w:tcPr>
            <w:tcW w:w="9102" w:type="dxa"/>
            <w:gridSpan w:val="2"/>
            <w:vAlign w:val="center"/>
          </w:tcPr>
          <w:p w14:paraId="0094F5F0" w14:textId="33A0B9C8" w:rsidR="00817793" w:rsidRDefault="002719FC">
            <w:pPr>
              <w:spacing w:before="120" w:after="120"/>
            </w:pPr>
            <w:r>
              <w:t>Pacientes com lúpus eritematoso sistêmico positivo para autoanticorpos com 18 anos ou mais em uso de terapia tripla com hidroxicloroquina + corticosteroide (prednisona ≥7,5 mg/dia ou equivalente) + imunossupressor (</w:t>
            </w:r>
            <w:proofErr w:type="spellStart"/>
            <w:r>
              <w:t>azatioprina</w:t>
            </w:r>
            <w:proofErr w:type="spellEnd"/>
            <w:r>
              <w:t xml:space="preserve">, </w:t>
            </w:r>
            <w:proofErr w:type="spellStart"/>
            <w:r>
              <w:t>micofenolato</w:t>
            </w:r>
            <w:proofErr w:type="spellEnd"/>
            <w:r>
              <w:t xml:space="preserve"> ou metotrexato), com intolerância ou falha após 24 semanas de tratamento, em atividade moderada a grave com um dos seguintes critérios: SLEDAI-2K ≥10; CLASI ≥10</w:t>
            </w:r>
            <w:r w:rsidR="00B64789">
              <w:t>.</w:t>
            </w:r>
          </w:p>
        </w:tc>
      </w:tr>
      <w:tr w:rsidR="00817793" w14:paraId="0AC7A475" w14:textId="77777777" w:rsidTr="704C5938">
        <w:trPr>
          <w:trHeight w:val="460"/>
        </w:trPr>
        <w:tc>
          <w:tcPr>
            <w:tcW w:w="9102" w:type="dxa"/>
            <w:gridSpan w:val="2"/>
            <w:shd w:val="clear" w:color="auto" w:fill="D9E2F3"/>
            <w:vAlign w:val="center"/>
          </w:tcPr>
          <w:p w14:paraId="70723687" w14:textId="77777777" w:rsidR="00817793" w:rsidRDefault="002719FC">
            <w:pPr>
              <w:spacing w:before="120" w:after="120"/>
              <w:rPr>
                <w:b/>
                <w:smallCaps/>
              </w:rPr>
            </w:pPr>
            <w:r>
              <w:rPr>
                <w:b/>
                <w:smallCaps/>
              </w:rPr>
              <w:t>INTRODUÇÃO</w:t>
            </w:r>
          </w:p>
        </w:tc>
      </w:tr>
      <w:tr w:rsidR="00817793" w14:paraId="359530D0" w14:textId="77777777" w:rsidTr="704C5938">
        <w:tc>
          <w:tcPr>
            <w:tcW w:w="9102" w:type="dxa"/>
            <w:gridSpan w:val="2"/>
            <w:vAlign w:val="center"/>
          </w:tcPr>
          <w:p w14:paraId="02D6B8E4" w14:textId="77777777" w:rsidR="00817793" w:rsidRDefault="002719FC">
            <w:pPr>
              <w:ind w:firstLine="720"/>
              <w:rPr>
                <w:i/>
                <w:color w:val="FF0000"/>
              </w:rPr>
            </w:pPr>
            <w:proofErr w:type="gramStart"/>
            <w:r>
              <w:t>O lúpus</w:t>
            </w:r>
            <w:proofErr w:type="gramEnd"/>
            <w:r>
              <w:t xml:space="preserve"> eritematoso sistêmico (LES) é uma doença autoimune crônica, complexa e multissistêmica, caracterizada pela produção de autoanticorpos e inflamação em múltiplos órgãos e tecidos. Sua etiologia é multifatorial, envolvendo interações entre fatores genéticos, ambientais e hormonais, o que resulta em uma ampla gama de manifestações clínicas e laboratoriais. A resposta imunológica desregulada no LES é mediada por mecanismos como a perda da tolerância imunológica, hiperatividade das células B e produção excessiva de autoanticorpos, incluindo anticorpos antinucleares (ANA) e </w:t>
            </w:r>
            <w:proofErr w:type="spellStart"/>
            <w:r>
              <w:t>anti-DNA</w:t>
            </w:r>
            <w:proofErr w:type="spellEnd"/>
            <w:r>
              <w:t xml:space="preserve"> de fita dupla, que desempenham papel central na patogênese da doença.</w:t>
            </w:r>
          </w:p>
        </w:tc>
      </w:tr>
      <w:tr w:rsidR="00817793" w14:paraId="00C6AC80" w14:textId="77777777" w:rsidTr="704C5938">
        <w:tc>
          <w:tcPr>
            <w:tcW w:w="9102" w:type="dxa"/>
            <w:gridSpan w:val="2"/>
            <w:shd w:val="clear" w:color="auto" w:fill="D9E2F3"/>
            <w:vAlign w:val="center"/>
          </w:tcPr>
          <w:p w14:paraId="2803D4F1" w14:textId="77777777" w:rsidR="00817793" w:rsidRDefault="002719FC">
            <w:pPr>
              <w:spacing w:before="120" w:after="120"/>
              <w:rPr>
                <w:smallCaps/>
              </w:rPr>
            </w:pPr>
            <w:r>
              <w:rPr>
                <w:b/>
              </w:rPr>
              <w:t>PERGUNTA ESTRUTURADA</w:t>
            </w:r>
          </w:p>
        </w:tc>
      </w:tr>
      <w:tr w:rsidR="00817793" w14:paraId="79F0DE04" w14:textId="77777777" w:rsidTr="704C5938">
        <w:trPr>
          <w:trHeight w:val="405"/>
        </w:trPr>
        <w:tc>
          <w:tcPr>
            <w:tcW w:w="4551" w:type="dxa"/>
            <w:vAlign w:val="center"/>
          </w:tcPr>
          <w:p w14:paraId="3D601876" w14:textId="77777777" w:rsidR="00817793" w:rsidRDefault="002719FC">
            <w:pPr>
              <w:spacing w:before="120" w:after="120"/>
              <w:rPr>
                <w:i/>
              </w:rPr>
            </w:pPr>
            <w:r>
              <w:rPr>
                <w:i/>
              </w:rPr>
              <w:t>Proponente</w:t>
            </w:r>
          </w:p>
        </w:tc>
        <w:tc>
          <w:tcPr>
            <w:tcW w:w="4551" w:type="dxa"/>
            <w:vAlign w:val="center"/>
          </w:tcPr>
          <w:p w14:paraId="7DF80BD8" w14:textId="77777777" w:rsidR="00817793" w:rsidRDefault="002719FC">
            <w:pPr>
              <w:spacing w:before="120" w:after="120"/>
              <w:rPr>
                <w:i/>
              </w:rPr>
            </w:pPr>
            <w:r>
              <w:rPr>
                <w:i/>
              </w:rPr>
              <w:t>Parecerista</w:t>
            </w:r>
          </w:p>
        </w:tc>
      </w:tr>
      <w:tr w:rsidR="00817793" w14:paraId="71CEE97B" w14:textId="77777777" w:rsidTr="704C5938">
        <w:trPr>
          <w:trHeight w:val="480"/>
        </w:trPr>
        <w:tc>
          <w:tcPr>
            <w:tcW w:w="4551" w:type="dxa"/>
            <w:vAlign w:val="center"/>
          </w:tcPr>
          <w:p w14:paraId="283EB5F0" w14:textId="77777777" w:rsidR="00817793" w:rsidRDefault="002719FC">
            <w:pPr>
              <w:spacing w:before="120" w:after="120"/>
            </w:pPr>
            <w:r>
              <w:lastRenderedPageBreak/>
              <w:t xml:space="preserve">O tratamento com </w:t>
            </w:r>
            <w:proofErr w:type="spellStart"/>
            <w:r>
              <w:t>anifrolumabe</w:t>
            </w:r>
            <w:proofErr w:type="spellEnd"/>
            <w:r>
              <w:t xml:space="preserve"> é eficaz e seguro para o tratamento de pacientes com LES com moderada a alta atividade?</w:t>
            </w:r>
          </w:p>
        </w:tc>
        <w:tc>
          <w:tcPr>
            <w:tcW w:w="4551" w:type="dxa"/>
            <w:vAlign w:val="center"/>
          </w:tcPr>
          <w:p w14:paraId="39F44F6E" w14:textId="0B58282D" w:rsidR="00817793" w:rsidRDefault="002719FC">
            <w:pPr>
              <w:spacing w:before="120" w:after="120"/>
            </w:pPr>
            <w:r>
              <w:t xml:space="preserve">O </w:t>
            </w:r>
            <w:proofErr w:type="spellStart"/>
            <w:r>
              <w:t>anifrolumabe</w:t>
            </w:r>
            <w:proofErr w:type="spellEnd"/>
            <w:r>
              <w:t xml:space="preserve"> é eficaz e seguro como tratamento de adição para pacientes com lúpus eritematoso sistêmico</w:t>
            </w:r>
            <w:r w:rsidR="00115FE0">
              <w:t>,</w:t>
            </w:r>
            <w:r>
              <w:t xml:space="preserve"> com moderada a alta atividade da doença</w:t>
            </w:r>
            <w:r w:rsidR="00115FE0">
              <w:t>, e</w:t>
            </w:r>
            <w:r>
              <w:t xml:space="preserve"> com falha ao tratamento padrão para esse nível de atividade (terapia tripla (hidroxicloroquina + prednisona ≥ 7,5 mg ou equivalente + um imunossupressor)</w:t>
            </w:r>
            <w:r w:rsidR="00071026">
              <w:t xml:space="preserve">, </w:t>
            </w:r>
            <w:r>
              <w:t>quando comparado ao tratamento padrão isoladamente?</w:t>
            </w:r>
          </w:p>
        </w:tc>
      </w:tr>
      <w:tr w:rsidR="00817793" w14:paraId="2F6CB164" w14:textId="77777777" w:rsidTr="704C5938">
        <w:trPr>
          <w:trHeight w:val="391"/>
        </w:trPr>
        <w:tc>
          <w:tcPr>
            <w:tcW w:w="9102" w:type="dxa"/>
            <w:gridSpan w:val="2"/>
            <w:shd w:val="clear" w:color="auto" w:fill="D9E2F3"/>
            <w:vAlign w:val="center"/>
          </w:tcPr>
          <w:p w14:paraId="0DAA44E7" w14:textId="77777777" w:rsidR="00817793" w:rsidRDefault="002719FC">
            <w:pPr>
              <w:spacing w:before="120" w:after="120"/>
              <w:rPr>
                <w:b/>
                <w:smallCaps/>
                <w:highlight w:val="cyan"/>
              </w:rPr>
            </w:pPr>
            <w:r>
              <w:rPr>
                <w:b/>
                <w:smallCaps/>
              </w:rPr>
              <w:t>EFICÁCIA/EFETIVIDADE/SEGURANÇA</w:t>
            </w:r>
          </w:p>
        </w:tc>
      </w:tr>
      <w:tr w:rsidR="00817793" w14:paraId="7AFD5733" w14:textId="77777777" w:rsidTr="704C5938">
        <w:trPr>
          <w:trHeight w:val="275"/>
        </w:trPr>
        <w:tc>
          <w:tcPr>
            <w:tcW w:w="4551" w:type="dxa"/>
            <w:vAlign w:val="center"/>
          </w:tcPr>
          <w:p w14:paraId="57682250" w14:textId="77777777" w:rsidR="00817793" w:rsidRDefault="002719FC">
            <w:pPr>
              <w:spacing w:before="120" w:after="120"/>
              <w:rPr>
                <w:i/>
              </w:rPr>
            </w:pPr>
            <w:r>
              <w:rPr>
                <w:i/>
              </w:rPr>
              <w:t>Proponente</w:t>
            </w:r>
          </w:p>
        </w:tc>
        <w:tc>
          <w:tcPr>
            <w:tcW w:w="4551" w:type="dxa"/>
            <w:vAlign w:val="center"/>
          </w:tcPr>
          <w:p w14:paraId="72D57B92" w14:textId="77777777" w:rsidR="00817793" w:rsidRDefault="002719FC">
            <w:pPr>
              <w:spacing w:before="120" w:after="120"/>
              <w:rPr>
                <w:i/>
              </w:rPr>
            </w:pPr>
            <w:r>
              <w:rPr>
                <w:i/>
              </w:rPr>
              <w:t>Parecerista</w:t>
            </w:r>
          </w:p>
        </w:tc>
      </w:tr>
      <w:tr w:rsidR="00817793" w14:paraId="09BAF080" w14:textId="77777777" w:rsidTr="704C5938">
        <w:trPr>
          <w:trHeight w:val="1005"/>
        </w:trPr>
        <w:tc>
          <w:tcPr>
            <w:tcW w:w="4551" w:type="dxa"/>
            <w:vAlign w:val="center"/>
          </w:tcPr>
          <w:p w14:paraId="2730BFFA" w14:textId="77777777" w:rsidR="00817793" w:rsidRDefault="002719FC">
            <w:pPr>
              <w:spacing w:before="120" w:after="120"/>
            </w:pPr>
            <w:r>
              <w:t xml:space="preserve">A revisão sistemática analisou 3 ensaios clínicos (459 pacientes com </w:t>
            </w:r>
            <w:proofErr w:type="spellStart"/>
            <w:r>
              <w:t>anifrolumabe</w:t>
            </w:r>
            <w:proofErr w:type="spellEnd"/>
            <w:r>
              <w:t xml:space="preserve"> 300 mg e 468 com placebo) e 5 revisões sistemáticas, evidenciando a eficácia e segurança do </w:t>
            </w:r>
            <w:proofErr w:type="spellStart"/>
            <w:r>
              <w:t>anifrolumabe</w:t>
            </w:r>
            <w:proofErr w:type="spellEnd"/>
            <w:r>
              <w:t xml:space="preserve"> em pacientes com LES de moderada a alta atividade. O medicamento apresentou maior resposta ao tratamento (BICLA), redução na atividade da doença (LLDAS), melhora nas manifestações cutâneas (CLASI), redução no uso de corticosteroides e menor frequência de eventos adversos graves comparado ao placebo.</w:t>
            </w:r>
          </w:p>
          <w:p w14:paraId="02346979" w14:textId="77777777" w:rsidR="00817793" w:rsidRDefault="002719FC">
            <w:pPr>
              <w:spacing w:before="120" w:after="120"/>
            </w:pPr>
            <w:r>
              <w:t xml:space="preserve">A resposta pelo BICLA foi significativamente superior ao placebo (OR 2,07; IC 95% 1,57-2,72; alta qualidade), sendo o desfecho primário do estudo TULIP-2, com vantagens sobre o SRI na detecção de melhoras parciais significativas. O </w:t>
            </w:r>
            <w:proofErr w:type="spellStart"/>
            <w:r>
              <w:lastRenderedPageBreak/>
              <w:t>anifrolumabe</w:t>
            </w:r>
            <w:proofErr w:type="spellEnd"/>
            <w:r>
              <w:t xml:space="preserve"> também mostrou superioridade em alcançar baixa atividade da doença (LLDAS) (OR 2,00; IC 95% 1,48-2,71) e reduzir em ≥50% o CLASI basal (OR 2,72; IC 95% 1,58-4,67).</w:t>
            </w:r>
          </w:p>
          <w:p w14:paraId="428711FB" w14:textId="77777777" w:rsidR="00817793" w:rsidRDefault="002719FC">
            <w:pPr>
              <w:spacing w:before="120" w:after="120"/>
            </w:pPr>
            <w:r>
              <w:t>Além disso, reduziu significativamente o uso de corticosteroides (OR 2,15; IC 95% 1,49-3,10), minimizando os riscos associados ao uso prolongado, como danos orgânicos e complicações metabólicas. O perfil de segurança foi favorável, com menor frequência de eventos adversos graves (OR 0,70; IC 95% 0,48-1,00; qualidade moderada), reforçando sua eficácia e segurança no manejo do LES.</w:t>
            </w:r>
          </w:p>
        </w:tc>
        <w:tc>
          <w:tcPr>
            <w:tcW w:w="4551" w:type="dxa"/>
            <w:vAlign w:val="center"/>
          </w:tcPr>
          <w:p w14:paraId="57E5C4C2" w14:textId="77777777" w:rsidR="00817793" w:rsidRDefault="002719FC">
            <w:r>
              <w:lastRenderedPageBreak/>
              <w:t>Foram incluídos, com ressalvas, três ensaios clínicos: TULIP-1 (</w:t>
            </w:r>
            <w:proofErr w:type="spellStart"/>
            <w:r>
              <w:t>Furie</w:t>
            </w:r>
            <w:proofErr w:type="spellEnd"/>
            <w:r>
              <w:t xml:space="preserve"> et al., 2019), TULIP-2 (Morand et al., 2020) e TULIP-LTE (</w:t>
            </w:r>
            <w:proofErr w:type="spellStart"/>
            <w:r>
              <w:t>Kalunian</w:t>
            </w:r>
            <w:proofErr w:type="spellEnd"/>
            <w:r>
              <w:t xml:space="preserve"> et al., 2023). Esses estudos não se encaixam perfeitamente na indicação proposta na submissão do demandante pois os pacientes estudados poderiam estar em terapia combinada dupla ou tripla (estimamos 70-80% em terapia tripla). Portanto, os resultados desses estudos permitem a inferência indireta de que teriam validade externa para pacientes em terapia tripla.</w:t>
            </w:r>
          </w:p>
          <w:p w14:paraId="009BD7E9" w14:textId="77777777" w:rsidR="00817793" w:rsidRDefault="002719FC">
            <w:r>
              <w:t xml:space="preserve">Para o desfecho SRI-4, não houve significância estatística entre os grupos </w:t>
            </w:r>
            <w:proofErr w:type="spellStart"/>
            <w:r>
              <w:t>anifrolumabe</w:t>
            </w:r>
            <w:proofErr w:type="spellEnd"/>
            <w:r>
              <w:t xml:space="preserve"> e placebo + terapia </w:t>
            </w:r>
            <w:proofErr w:type="gramStart"/>
            <w:r>
              <w:t>padrão(</w:t>
            </w:r>
            <w:proofErr w:type="gramEnd"/>
            <w:r>
              <w:t xml:space="preserve">*) (Diferença -4,2 </w:t>
            </w:r>
            <w:r>
              <w:lastRenderedPageBreak/>
              <w:t xml:space="preserve">[IC95% -14,2; 5,8], p=0,412), com certeza da evidência classificada como baixa. </w:t>
            </w:r>
          </w:p>
          <w:p w14:paraId="784AA2DA" w14:textId="77777777" w:rsidR="00817793" w:rsidRDefault="002719FC">
            <w:r>
              <w:t xml:space="preserve">No desfecho BICLA, os resultados foram favoráveis ao grupo </w:t>
            </w:r>
            <w:proofErr w:type="spellStart"/>
            <w:r>
              <w:t>anifrolumabe</w:t>
            </w:r>
            <w:proofErr w:type="spellEnd"/>
            <w:r>
              <w:t xml:space="preserve"> nos ensaios TULIP-1 (Diferença 10,1 [0,6; 19,7]) e TULIP-2 (Diferença 16,3 [6,3; 26,3], p=0,001), também com certeza da evidência baixa. </w:t>
            </w:r>
          </w:p>
          <w:p w14:paraId="0DEB2483" w14:textId="77777777" w:rsidR="00817793" w:rsidRDefault="002719FC">
            <w:r>
              <w:t xml:space="preserve">Para eventos adversos graves, a certeza da evidência foi baixa, com dois estudos apresentando resultados favoráveis ao </w:t>
            </w:r>
            <w:proofErr w:type="spellStart"/>
            <w:r>
              <w:t>anifrolumabe</w:t>
            </w:r>
            <w:proofErr w:type="spellEnd"/>
            <w:r>
              <w:t xml:space="preserve"> (TULIP-LTE: </w:t>
            </w:r>
            <w:proofErr w:type="spellStart"/>
            <w:r>
              <w:t>anifrolumabe</w:t>
            </w:r>
            <w:proofErr w:type="spellEnd"/>
            <w:r>
              <w:t xml:space="preserve"> 300 mg: 22,6% versus placebo + terapia </w:t>
            </w:r>
            <w:proofErr w:type="gramStart"/>
            <w:r>
              <w:t>padrão(</w:t>
            </w:r>
            <w:proofErr w:type="gramEnd"/>
            <w:r>
              <w:t xml:space="preserve">*): 25%; outro estudo: 14% versus 16%), </w:t>
            </w:r>
            <w:r w:rsidRPr="0024452D">
              <w:t xml:space="preserve">enquanto o TULIP-2 mostrou maior frequência de eventos adversos no grupo </w:t>
            </w:r>
            <w:proofErr w:type="spellStart"/>
            <w:r w:rsidRPr="0024452D">
              <w:t>anifrolumabe</w:t>
            </w:r>
            <w:proofErr w:type="spellEnd"/>
            <w:r w:rsidRPr="0024452D">
              <w:t xml:space="preserve"> (88,3%) em comparação ao placebo + terapia </w:t>
            </w:r>
            <w:proofErr w:type="gramStart"/>
            <w:r w:rsidRPr="0024452D">
              <w:t>padrão(</w:t>
            </w:r>
            <w:proofErr w:type="gramEnd"/>
            <w:r w:rsidRPr="0024452D">
              <w:t>*) (84,1%).</w:t>
            </w:r>
            <w:r>
              <w:t xml:space="preserve"> </w:t>
            </w:r>
          </w:p>
          <w:p w14:paraId="03C5A9EC" w14:textId="77777777" w:rsidR="00817793" w:rsidRDefault="002719FC">
            <w:r>
              <w:t xml:space="preserve">Em relação à redução no uso de corticosteroides, a certeza da evidência foi muito baixa; o TULIP-1 não encontrou diferença estatística entre os grupos (Diferença: 8,9; IC95% -4,1 a 21,9; p=0,180), enquanto os estudos TULIP-2 e TULIP-LTE demonstraram que os pacientes tratados com </w:t>
            </w:r>
            <w:proofErr w:type="spellStart"/>
            <w:r>
              <w:t>anifrolumabe</w:t>
            </w:r>
            <w:proofErr w:type="spellEnd"/>
            <w:r>
              <w:t xml:space="preserve"> reduziram o uso de corticosteroides. </w:t>
            </w:r>
          </w:p>
          <w:p w14:paraId="76BC29E6" w14:textId="77777777" w:rsidR="00817793" w:rsidRDefault="002719FC">
            <w:r>
              <w:t xml:space="preserve">Para o desfecho CLASI, com certeza da evidência baixa, o TULIP-1 não identificou diferença estatística entre os grupos (Diferença: 17,0; </w:t>
            </w:r>
            <w:r>
              <w:lastRenderedPageBreak/>
              <w:t xml:space="preserve">IC95% -0,31 a 34,3; p=0,054), mas o TULIP-2 mostrou melhores respostas no grupo </w:t>
            </w:r>
            <w:proofErr w:type="spellStart"/>
            <w:r>
              <w:t>anifrolumabe</w:t>
            </w:r>
            <w:proofErr w:type="spellEnd"/>
            <w:r>
              <w:t xml:space="preserve"> (Diferença: 24,0; IC95% 4,3 a 43,6; p=0,04). </w:t>
            </w:r>
          </w:p>
          <w:p w14:paraId="40FB9B05" w14:textId="77777777" w:rsidR="00817793" w:rsidRDefault="002719FC">
            <w:r>
              <w:t>Por fim, no desfecho SLEDAI-2K, também com certeza da evidência baixa, o TULIP-LTE não encontrou diferença estatística entre os grupos, com pacientes que iniciaram no ECR LTE apresentando escores médios de 5,1 ± 3,5 (</w:t>
            </w:r>
            <w:proofErr w:type="spellStart"/>
            <w:r>
              <w:t>anifrolumabe</w:t>
            </w:r>
            <w:proofErr w:type="spellEnd"/>
            <w:r>
              <w:t xml:space="preserve"> 300 mg) e 6,0 ± 4,1 (placebo + terapia </w:t>
            </w:r>
            <w:proofErr w:type="gramStart"/>
            <w:r>
              <w:t>padrão(</w:t>
            </w:r>
            <w:proofErr w:type="gramEnd"/>
            <w:r>
              <w:t>*)).</w:t>
            </w:r>
          </w:p>
        </w:tc>
      </w:tr>
      <w:tr w:rsidR="00817793" w14:paraId="1640C406" w14:textId="77777777" w:rsidTr="704C5938">
        <w:tc>
          <w:tcPr>
            <w:tcW w:w="9102" w:type="dxa"/>
            <w:gridSpan w:val="2"/>
            <w:shd w:val="clear" w:color="auto" w:fill="D9E2F3"/>
            <w:vAlign w:val="center"/>
          </w:tcPr>
          <w:p w14:paraId="31EF4CC3" w14:textId="77777777" w:rsidR="00817793" w:rsidRDefault="002719FC">
            <w:pPr>
              <w:spacing w:before="120" w:after="120"/>
              <w:jc w:val="center"/>
              <w:rPr>
                <w:b/>
                <w:smallCaps/>
              </w:rPr>
            </w:pPr>
            <w:r>
              <w:rPr>
                <w:b/>
                <w:smallCaps/>
              </w:rPr>
              <w:lastRenderedPageBreak/>
              <w:t>AVALIAÇÃO ECONÔMICA</w:t>
            </w:r>
          </w:p>
        </w:tc>
      </w:tr>
      <w:tr w:rsidR="00817793" w14:paraId="77B452AE" w14:textId="77777777" w:rsidTr="704C5938">
        <w:tc>
          <w:tcPr>
            <w:tcW w:w="9102" w:type="dxa"/>
            <w:gridSpan w:val="2"/>
            <w:vAlign w:val="center"/>
          </w:tcPr>
          <w:p w14:paraId="2EFD3E4D" w14:textId="77777777" w:rsidR="00817793" w:rsidRDefault="002719FC">
            <w:pPr>
              <w:rPr>
                <w:i/>
                <w:color w:val="FF0000"/>
              </w:rPr>
            </w:pPr>
            <w:r>
              <w:t xml:space="preserve">O proponente realizou uma análise de custo-utilidade do </w:t>
            </w:r>
            <w:proofErr w:type="spellStart"/>
            <w:r>
              <w:t>anifrolumabe</w:t>
            </w:r>
            <w:proofErr w:type="spellEnd"/>
            <w:r>
              <w:t xml:space="preserve"> associado ao tratamento padrão para pacientes adultos com lúpus eritematoso sistêmico (LES) moderado a grave. Utilizou um modelo </w:t>
            </w:r>
            <w:proofErr w:type="spellStart"/>
            <w:r>
              <w:t>semi-Markov</w:t>
            </w:r>
            <w:proofErr w:type="spellEnd"/>
            <w:r>
              <w:t xml:space="preserve"> baseado no alcance do estado de saúde </w:t>
            </w:r>
            <w:proofErr w:type="spellStart"/>
            <w:r>
              <w:rPr>
                <w:i/>
              </w:rPr>
              <w:t>Lupus</w:t>
            </w:r>
            <w:proofErr w:type="spellEnd"/>
            <w:r>
              <w:rPr>
                <w:i/>
              </w:rPr>
              <w:t xml:space="preserve"> </w:t>
            </w:r>
            <w:proofErr w:type="spellStart"/>
            <w:r>
              <w:rPr>
                <w:i/>
              </w:rPr>
              <w:t>Low</w:t>
            </w:r>
            <w:proofErr w:type="spellEnd"/>
            <w:r>
              <w:rPr>
                <w:i/>
              </w:rPr>
              <w:t xml:space="preserve"> </w:t>
            </w:r>
            <w:proofErr w:type="spellStart"/>
            <w:r>
              <w:rPr>
                <w:i/>
              </w:rPr>
              <w:t>Disease</w:t>
            </w:r>
            <w:proofErr w:type="spellEnd"/>
            <w:r>
              <w:rPr>
                <w:i/>
              </w:rPr>
              <w:t xml:space="preserve"> </w:t>
            </w:r>
            <w:proofErr w:type="spellStart"/>
            <w:r>
              <w:rPr>
                <w:i/>
              </w:rPr>
              <w:t>Activity</w:t>
            </w:r>
            <w:proofErr w:type="spellEnd"/>
            <w:r>
              <w:rPr>
                <w:i/>
              </w:rPr>
              <w:t xml:space="preserve"> </w:t>
            </w:r>
            <w:proofErr w:type="spellStart"/>
            <w:r>
              <w:rPr>
                <w:i/>
              </w:rPr>
              <w:t>State</w:t>
            </w:r>
            <w:proofErr w:type="spellEnd"/>
            <w:r>
              <w:t xml:space="preserve"> (LLDAS), considerando três estados: “LLDAS”, “Não-LLDAS” e “Óbito”. O modelo incluiu custos com medicamentos, eventos adversos, consultas e exames, além de </w:t>
            </w:r>
            <w:proofErr w:type="spellStart"/>
            <w:r>
              <w:t>desutilidades</w:t>
            </w:r>
            <w:proofErr w:type="spellEnd"/>
            <w:r>
              <w:t xml:space="preserve"> associadas a eventos adversos, exacerbações e lesões orgânicas. A análise indicou uma razão de custo-utilidade incremental (RCUI) de R$ 259.225/AVAQ. O modelo foi considerado conservador e alinhado com a DUT proposta, adotando a interrupção do tratamento com </w:t>
            </w:r>
            <w:proofErr w:type="spellStart"/>
            <w:r>
              <w:t>anifrolumabe</w:t>
            </w:r>
            <w:proofErr w:type="spellEnd"/>
            <w:r>
              <w:t xml:space="preserve"> em pacientes que não respondem ao tratamento. No entanto, há críticas quanto à validade externa, pois os dados são baseados em ensaios clínicos não representativos da população-alvo. Além disso, os valores utilizados para alcançar o LLDAS não estão devidamente referenciados, e a abordagem de custos foi considerada inadequada para o contexto da ANS. Houve superestimação dos custos com eventos adversos, falta de transparência nos custos de hospitalização, erros e inconsistências na planilha eletrônica. Após correções, os pareceristas recalcularam a RCUI em R$ 271.388,15/AVAQ.</w:t>
            </w:r>
          </w:p>
        </w:tc>
      </w:tr>
      <w:tr w:rsidR="00817793" w14:paraId="6C90EE9F" w14:textId="77777777" w:rsidTr="704C5938">
        <w:tc>
          <w:tcPr>
            <w:tcW w:w="9102" w:type="dxa"/>
            <w:gridSpan w:val="2"/>
            <w:shd w:val="clear" w:color="auto" w:fill="D9E2F3"/>
            <w:vAlign w:val="center"/>
          </w:tcPr>
          <w:p w14:paraId="19D11B1B" w14:textId="77777777" w:rsidR="00817793" w:rsidRDefault="002719FC">
            <w:pPr>
              <w:spacing w:before="120" w:after="120"/>
              <w:jc w:val="center"/>
              <w:rPr>
                <w:highlight w:val="cyan"/>
              </w:rPr>
            </w:pPr>
            <w:r>
              <w:rPr>
                <w:b/>
                <w:smallCaps/>
              </w:rPr>
              <w:lastRenderedPageBreak/>
              <w:t>IMPACTO ORÇAMENTÁRIO</w:t>
            </w:r>
          </w:p>
        </w:tc>
      </w:tr>
      <w:tr w:rsidR="00817793" w14:paraId="2B030D7A" w14:textId="77777777" w:rsidTr="704C5938">
        <w:tc>
          <w:tcPr>
            <w:tcW w:w="4551" w:type="dxa"/>
            <w:vAlign w:val="center"/>
          </w:tcPr>
          <w:p w14:paraId="5D296E41" w14:textId="77777777" w:rsidR="00817793" w:rsidRDefault="002719FC">
            <w:pPr>
              <w:spacing w:before="120" w:after="120"/>
              <w:jc w:val="center"/>
              <w:rPr>
                <w:i/>
              </w:rPr>
            </w:pPr>
            <w:r>
              <w:rPr>
                <w:i/>
              </w:rPr>
              <w:t>Proponente</w:t>
            </w:r>
          </w:p>
        </w:tc>
        <w:tc>
          <w:tcPr>
            <w:tcW w:w="4551" w:type="dxa"/>
            <w:vAlign w:val="center"/>
          </w:tcPr>
          <w:p w14:paraId="79612E70" w14:textId="77777777" w:rsidR="00817793" w:rsidRDefault="002719FC">
            <w:pPr>
              <w:spacing w:before="120" w:after="120"/>
              <w:jc w:val="center"/>
              <w:rPr>
                <w:i/>
              </w:rPr>
            </w:pPr>
            <w:r>
              <w:rPr>
                <w:i/>
              </w:rPr>
              <w:t>Parecerista</w:t>
            </w:r>
          </w:p>
        </w:tc>
      </w:tr>
      <w:tr w:rsidR="00817793" w14:paraId="375A4760" w14:textId="77777777" w:rsidTr="704C5938">
        <w:tc>
          <w:tcPr>
            <w:tcW w:w="4551" w:type="dxa"/>
            <w:vAlign w:val="center"/>
          </w:tcPr>
          <w:p w14:paraId="267B66D9" w14:textId="77777777" w:rsidR="00817793" w:rsidRDefault="002719FC">
            <w:pPr>
              <w:spacing w:before="120" w:after="120"/>
              <w:rPr>
                <w:i/>
                <w:color w:val="FF0000"/>
                <w:highlight w:val="yellow"/>
              </w:rPr>
            </w:pPr>
            <w:r>
              <w:rPr>
                <w:highlight w:val="white"/>
              </w:rPr>
              <w:t xml:space="preserve">Para uma população média de </w:t>
            </w:r>
            <w:r>
              <w:t>2.723</w:t>
            </w:r>
            <w:r>
              <w:rPr>
                <w:highlight w:val="white"/>
              </w:rPr>
              <w:t xml:space="preserve">/ano e taxa de difusão </w:t>
            </w:r>
            <w:r>
              <w:t>inicial de 25%, com aumento anual de 5% por ano</w:t>
            </w:r>
            <w:r>
              <w:rPr>
                <w:highlight w:val="white"/>
              </w:rPr>
              <w:t xml:space="preserve"> em 5 anos, o PROPONENTE apresenta um modelo de análise de impacto orçamentário com um impacto incremental de R$ 197,6 milhões no final de 5 anos, com uma média simples anual de R$ 39,5 </w:t>
            </w:r>
            <w:r>
              <w:t>milhões</w:t>
            </w:r>
            <w:r>
              <w:rPr>
                <w:b/>
              </w:rPr>
              <w:t xml:space="preserve"> </w:t>
            </w:r>
            <w:r>
              <w:rPr>
                <w:highlight w:val="white"/>
              </w:rPr>
              <w:t>no período de 5 anos. Foram também apresentados outros 2 cenários de difusão alternativos, tanto com difusão mais lenta quanto mais agressiva.</w:t>
            </w:r>
          </w:p>
        </w:tc>
        <w:tc>
          <w:tcPr>
            <w:tcW w:w="4551" w:type="dxa"/>
            <w:vAlign w:val="center"/>
          </w:tcPr>
          <w:p w14:paraId="6CC29693" w14:textId="02FA6C7D" w:rsidR="00817793" w:rsidRPr="00B56524" w:rsidRDefault="002719FC">
            <w:pPr>
              <w:spacing w:before="120" w:after="120"/>
              <w:rPr>
                <w:i/>
                <w:iCs/>
                <w:color w:val="FF0000"/>
                <w:highlight w:val="yellow"/>
              </w:rPr>
            </w:pPr>
            <w:r>
              <w:rPr>
                <w:highlight w:val="white"/>
              </w:rPr>
              <w:t xml:space="preserve">A análise de impacto orçamentário foi refeita. Para uma população média de </w:t>
            </w:r>
            <w:r>
              <w:t>1.987</w:t>
            </w:r>
            <w:r>
              <w:rPr>
                <w:highlight w:val="white"/>
              </w:rPr>
              <w:t xml:space="preserve">/ano e taxa de difusão </w:t>
            </w:r>
            <w:r>
              <w:t>inicial de 25%, com aumento anual de 5% por ano</w:t>
            </w:r>
            <w:r>
              <w:rPr>
                <w:highlight w:val="white"/>
              </w:rPr>
              <w:t xml:space="preserve"> em 5 anos, o novo modelo estimou um impacto incremental de R$ 129 milhões no final de 5 anos, com uma média simples anual de R$ </w:t>
            </w:r>
            <w:r>
              <w:t>25,8 milhões</w:t>
            </w:r>
            <w:r>
              <w:rPr>
                <w:highlight w:val="white"/>
              </w:rPr>
              <w:t xml:space="preserve"> no período de 5 anos. Tal diferença se deve à metodologia diversa de composição do cálculo da população elegível, sobretudo na proporção de pacientes em uso de prednisona ≥ 7,5 mg/dia (ou equivalente), cujo dado de origem estava sendo utilizado de forma equivocada pelo proponente. Foram também refeitos os outros 2 cenários de difusão alternativos, tanto com difusão mais lenta quanto mais agressiva.</w:t>
            </w:r>
          </w:p>
        </w:tc>
      </w:tr>
      <w:tr w:rsidR="00817793" w14:paraId="3DE1DBF2" w14:textId="77777777" w:rsidTr="704C5938">
        <w:trPr>
          <w:trHeight w:val="330"/>
        </w:trPr>
        <w:tc>
          <w:tcPr>
            <w:tcW w:w="9102" w:type="dxa"/>
            <w:gridSpan w:val="2"/>
            <w:shd w:val="clear" w:color="auto" w:fill="D9E2F3"/>
            <w:vAlign w:val="center"/>
          </w:tcPr>
          <w:p w14:paraId="2906374C" w14:textId="77777777" w:rsidR="00817793" w:rsidRDefault="002719FC">
            <w:pPr>
              <w:spacing w:before="120" w:after="120"/>
              <w:jc w:val="center"/>
              <w:rPr>
                <w:highlight w:val="cyan"/>
              </w:rPr>
            </w:pPr>
            <w:r>
              <w:rPr>
                <w:b/>
                <w:smallCaps/>
              </w:rPr>
              <w:t>EXPERIÊNCIA INTERNACIONAL</w:t>
            </w:r>
          </w:p>
        </w:tc>
      </w:tr>
      <w:tr w:rsidR="00817793" w14:paraId="6AAB7FF3" w14:textId="77777777" w:rsidTr="704C5938">
        <w:tc>
          <w:tcPr>
            <w:tcW w:w="4551" w:type="dxa"/>
            <w:vAlign w:val="center"/>
          </w:tcPr>
          <w:p w14:paraId="390430BE" w14:textId="77777777" w:rsidR="00817793" w:rsidRDefault="002719FC">
            <w:pPr>
              <w:spacing w:before="120" w:after="120"/>
              <w:jc w:val="center"/>
              <w:rPr>
                <w:i/>
              </w:rPr>
            </w:pPr>
            <w:r>
              <w:rPr>
                <w:i/>
              </w:rPr>
              <w:t>Proponente</w:t>
            </w:r>
          </w:p>
        </w:tc>
        <w:tc>
          <w:tcPr>
            <w:tcW w:w="4551" w:type="dxa"/>
            <w:vAlign w:val="center"/>
          </w:tcPr>
          <w:p w14:paraId="494F98C5" w14:textId="77777777" w:rsidR="00817793" w:rsidRDefault="002719FC">
            <w:pPr>
              <w:spacing w:before="120" w:after="120"/>
              <w:jc w:val="center"/>
              <w:rPr>
                <w:i/>
              </w:rPr>
            </w:pPr>
            <w:r>
              <w:rPr>
                <w:i/>
              </w:rPr>
              <w:t>Parecerista</w:t>
            </w:r>
          </w:p>
        </w:tc>
      </w:tr>
      <w:tr w:rsidR="00817793" w14:paraId="2792BD34" w14:textId="77777777" w:rsidTr="704C5938">
        <w:tc>
          <w:tcPr>
            <w:tcW w:w="4551" w:type="dxa"/>
            <w:vAlign w:val="center"/>
          </w:tcPr>
          <w:p w14:paraId="530962E8" w14:textId="77777777" w:rsidR="00817793" w:rsidRDefault="002719FC">
            <w:pPr>
              <w:numPr>
                <w:ilvl w:val="0"/>
                <w:numId w:val="6"/>
              </w:numPr>
              <w:spacing w:before="120"/>
            </w:pPr>
            <w:r>
              <w:t xml:space="preserve">No Canadá, o Canadian </w:t>
            </w:r>
            <w:proofErr w:type="spellStart"/>
            <w:r>
              <w:t>Agency</w:t>
            </w:r>
            <w:proofErr w:type="spellEnd"/>
            <w:r>
              <w:t xml:space="preserve"> for </w:t>
            </w:r>
            <w:proofErr w:type="spellStart"/>
            <w:r>
              <w:t>Drugs</w:t>
            </w:r>
            <w:proofErr w:type="spellEnd"/>
            <w:r>
              <w:t xml:space="preserve"> </w:t>
            </w:r>
            <w:proofErr w:type="spellStart"/>
            <w:r>
              <w:t>and</w:t>
            </w:r>
            <w:proofErr w:type="spellEnd"/>
            <w:r>
              <w:t xml:space="preserve"> Technologies in Health (CADTH) aprovou o medicamento para pacientes adultos com LES com atividade da doença moderada a severa (SLEDAI-2K ≥ 6), que não conseguiram controlar a doença com o uso de corticosteroides </w:t>
            </w:r>
            <w:r>
              <w:lastRenderedPageBreak/>
              <w:t>orais em doses iguais ou superiores a 10 mg/dia de prednisona (ou equivalente), em combinação com o tratamento padrão.</w:t>
            </w:r>
          </w:p>
          <w:p w14:paraId="11733DB8" w14:textId="77777777" w:rsidR="00817793" w:rsidRDefault="002719FC">
            <w:pPr>
              <w:numPr>
                <w:ilvl w:val="0"/>
                <w:numId w:val="6"/>
              </w:numPr>
              <w:spacing w:before="0"/>
            </w:pPr>
            <w:proofErr w:type="spellStart"/>
            <w:r>
              <w:t>Conitec</w:t>
            </w:r>
            <w:proofErr w:type="spellEnd"/>
            <w:r>
              <w:t>, Brasil: Não apresentado</w:t>
            </w:r>
          </w:p>
          <w:p w14:paraId="117037D3" w14:textId="77777777" w:rsidR="00817793" w:rsidRDefault="002719FC">
            <w:pPr>
              <w:numPr>
                <w:ilvl w:val="0"/>
                <w:numId w:val="6"/>
              </w:numPr>
              <w:spacing w:before="0"/>
            </w:pPr>
            <w:r>
              <w:t>NICE, Inglaterra: Não apresentado</w:t>
            </w:r>
          </w:p>
          <w:p w14:paraId="3D3EBE4F" w14:textId="77777777" w:rsidR="00817793" w:rsidRDefault="002719FC">
            <w:pPr>
              <w:numPr>
                <w:ilvl w:val="0"/>
                <w:numId w:val="6"/>
              </w:numPr>
              <w:spacing w:before="0"/>
            </w:pPr>
            <w:r>
              <w:t xml:space="preserve">PBS, Austrália: Na Austrália, o Pharmaceutical </w:t>
            </w:r>
            <w:proofErr w:type="spellStart"/>
            <w:r>
              <w:t>Benefits</w:t>
            </w:r>
            <w:proofErr w:type="spellEnd"/>
            <w:r>
              <w:t xml:space="preserve"> Advisory </w:t>
            </w:r>
            <w:proofErr w:type="spellStart"/>
            <w:r>
              <w:t>Committee</w:t>
            </w:r>
            <w:proofErr w:type="spellEnd"/>
            <w:r>
              <w:t xml:space="preserve"> (PBAC) [206] aprovou o uso de </w:t>
            </w:r>
            <w:proofErr w:type="spellStart"/>
            <w:r>
              <w:t>anifrolumabe</w:t>
            </w:r>
            <w:proofErr w:type="spellEnd"/>
            <w:r>
              <w:t xml:space="preserve"> para pacientes adultos com LES severo e com atividade moderada a alta da doença (SLEDAI-2K ≥ 10), que não responderam ao tratamento padrão.</w:t>
            </w:r>
          </w:p>
          <w:p w14:paraId="774AC33A" w14:textId="77777777" w:rsidR="00817793" w:rsidRDefault="002719FC">
            <w:pPr>
              <w:numPr>
                <w:ilvl w:val="0"/>
                <w:numId w:val="6"/>
              </w:numPr>
              <w:spacing w:before="0"/>
            </w:pPr>
            <w:r>
              <w:t>SMC, Escócia: Não apresentado</w:t>
            </w:r>
          </w:p>
          <w:p w14:paraId="19BE9BA5" w14:textId="77777777" w:rsidR="00817793" w:rsidRDefault="002719FC">
            <w:pPr>
              <w:numPr>
                <w:ilvl w:val="0"/>
                <w:numId w:val="6"/>
              </w:numPr>
              <w:spacing w:before="0" w:after="120"/>
            </w:pPr>
            <w:r>
              <w:t xml:space="preserve">HAS, França:  Na França, em 2022, a Haute </w:t>
            </w:r>
            <w:proofErr w:type="spellStart"/>
            <w:r>
              <w:t>Autorité</w:t>
            </w:r>
            <w:proofErr w:type="spellEnd"/>
            <w:r>
              <w:t xml:space="preserve"> de Santé (HAS) aprovou o </w:t>
            </w:r>
            <w:proofErr w:type="spellStart"/>
            <w:r>
              <w:t>anifrolumabe</w:t>
            </w:r>
            <w:proofErr w:type="spellEnd"/>
            <w:r>
              <w:t xml:space="preserve"> para o tratamento de pacientes adultos com LES com atividade moderada a severa da doença, que permanecem sem resposta adequada ao tratamento padrão.</w:t>
            </w:r>
          </w:p>
        </w:tc>
        <w:tc>
          <w:tcPr>
            <w:tcW w:w="4551" w:type="dxa"/>
            <w:vAlign w:val="center"/>
          </w:tcPr>
          <w:p w14:paraId="579559BC" w14:textId="77777777" w:rsidR="00817793" w:rsidRDefault="002719FC">
            <w:pPr>
              <w:numPr>
                <w:ilvl w:val="0"/>
                <w:numId w:val="8"/>
              </w:numPr>
              <w:spacing w:before="120"/>
            </w:pPr>
            <w:r>
              <w:lastRenderedPageBreak/>
              <w:t xml:space="preserve">CDA (Canadá): Aprovou o reembolso do </w:t>
            </w:r>
            <w:proofErr w:type="spellStart"/>
            <w:r>
              <w:t>anifrolumabe</w:t>
            </w:r>
            <w:proofErr w:type="spellEnd"/>
            <w:r>
              <w:t xml:space="preserve"> como complemento à terapia padrão para o tratamento de pacientes adultos com lúpus eritematoso sistêmico (LES) ativo e positivo para autoanticorpos. O reembolso deve ocorrer em pacientes </w:t>
            </w:r>
            <w:r>
              <w:lastRenderedPageBreak/>
              <w:t>adultos com lúpus eritematoso sistêmico (LES) moderado a grave, definido por: SLEDAI-2K (pontuação ≥ 6); Incapacidade de controlar a doença com OCS ≥ 10 mg/dia de prednisona (ou equivalente), além do tratamento padrão.</w:t>
            </w:r>
          </w:p>
          <w:p w14:paraId="17A055F8" w14:textId="0EB45866" w:rsidR="00817793" w:rsidRDefault="002719FC">
            <w:pPr>
              <w:numPr>
                <w:ilvl w:val="0"/>
                <w:numId w:val="8"/>
              </w:numPr>
              <w:spacing w:before="0"/>
            </w:pPr>
            <w:proofErr w:type="spellStart"/>
            <w:r>
              <w:t>Conitec</w:t>
            </w:r>
            <w:proofErr w:type="spellEnd"/>
            <w:r>
              <w:t>, Brasil: Não avaliado</w:t>
            </w:r>
            <w:r w:rsidR="00B64789">
              <w:t>.</w:t>
            </w:r>
          </w:p>
          <w:p w14:paraId="7D0EC84F" w14:textId="77777777" w:rsidR="00817793" w:rsidRDefault="002719FC">
            <w:pPr>
              <w:numPr>
                <w:ilvl w:val="0"/>
                <w:numId w:val="8"/>
              </w:numPr>
              <w:spacing w:before="0"/>
            </w:pPr>
            <w:r>
              <w:t xml:space="preserve">NICE, Inglaterra: O NICE não pôde fazer uma recomendação sobre o uso no NHS de </w:t>
            </w:r>
            <w:proofErr w:type="spellStart"/>
            <w:r>
              <w:t>anifrolumabe</w:t>
            </w:r>
            <w:proofErr w:type="spellEnd"/>
            <w:r>
              <w:t xml:space="preserve"> para tratar lúpus eritematoso sistêmico positivo para autoanticorpos ativos porque a AstraZeneca não fez a submissão de evidências para a avaliação. </w:t>
            </w:r>
          </w:p>
          <w:p w14:paraId="3B2767E6" w14:textId="77777777" w:rsidR="00817793" w:rsidRDefault="002719FC">
            <w:pPr>
              <w:numPr>
                <w:ilvl w:val="0"/>
                <w:numId w:val="8"/>
              </w:numPr>
              <w:spacing w:before="0"/>
            </w:pPr>
            <w:r>
              <w:t>PBS, Austrália: A PBS reconheceu a necessidade urgente de novos tratamentos para LES grave e emitiu uma recomendação favorável para incorporação, a despeito de incertezas na base de evidências, com base na aceitação de um preço reduzido e na implementação de restrições rigorosas para garantir o uso apropriado.</w:t>
            </w:r>
          </w:p>
          <w:p w14:paraId="71C9BD4A" w14:textId="38040EB0" w:rsidR="00817793" w:rsidRDefault="002719FC">
            <w:pPr>
              <w:numPr>
                <w:ilvl w:val="0"/>
                <w:numId w:val="11"/>
              </w:numPr>
              <w:spacing w:before="0"/>
            </w:pPr>
            <w:r>
              <w:t>SMC, Escócia: Não avaliado</w:t>
            </w:r>
            <w:r w:rsidR="00B64789">
              <w:t>.</w:t>
            </w:r>
          </w:p>
          <w:p w14:paraId="3AD838A0" w14:textId="429FA452" w:rsidR="002719FC" w:rsidRDefault="002719FC" w:rsidP="00B64789">
            <w:pPr>
              <w:numPr>
                <w:ilvl w:val="0"/>
                <w:numId w:val="11"/>
              </w:numPr>
              <w:spacing w:before="0" w:after="120"/>
            </w:pPr>
            <w:r>
              <w:t xml:space="preserve">HAS, França: A HAS aprovou o </w:t>
            </w:r>
            <w:proofErr w:type="spellStart"/>
            <w:r>
              <w:t>anifrolumabe</w:t>
            </w:r>
            <w:proofErr w:type="spellEnd"/>
            <w:r>
              <w:t xml:space="preserve"> para reembolso apenas como terapia complementar ao </w:t>
            </w:r>
            <w:r>
              <w:lastRenderedPageBreak/>
              <w:t xml:space="preserve">tratamento padrão em pacientes com LES moderado a grave, com envolvimento cutâneo significativo, e que não respondem ou não podem usar outras opções terapêuticas (como </w:t>
            </w:r>
            <w:proofErr w:type="spellStart"/>
            <w:r>
              <w:t>belimumabe</w:t>
            </w:r>
            <w:proofErr w:type="spellEnd"/>
            <w:r>
              <w:t xml:space="preserve">). O medicamento não foi aprovado para casos graves de nefrite </w:t>
            </w:r>
            <w:proofErr w:type="spellStart"/>
            <w:r>
              <w:t>lúpica</w:t>
            </w:r>
            <w:proofErr w:type="spellEnd"/>
            <w:r>
              <w:t xml:space="preserve"> ou lúpus do sistema nervoso central devido à ausência de dados clínicos robustos.</w:t>
            </w:r>
          </w:p>
        </w:tc>
      </w:tr>
      <w:tr w:rsidR="00817793" w14:paraId="37B8665D" w14:textId="77777777" w:rsidTr="704C5938">
        <w:tc>
          <w:tcPr>
            <w:tcW w:w="9102" w:type="dxa"/>
            <w:gridSpan w:val="2"/>
            <w:shd w:val="clear" w:color="auto" w:fill="D9E2F3"/>
            <w:vAlign w:val="center"/>
          </w:tcPr>
          <w:p w14:paraId="78FE647D" w14:textId="77777777" w:rsidR="00817793" w:rsidRDefault="002719FC">
            <w:pPr>
              <w:spacing w:before="120" w:after="120"/>
              <w:jc w:val="center"/>
              <w:rPr>
                <w:highlight w:val="cyan"/>
              </w:rPr>
            </w:pPr>
            <w:r>
              <w:rPr>
                <w:b/>
                <w:smallCaps/>
              </w:rPr>
              <w:lastRenderedPageBreak/>
              <w:t>CONSIDERAÇÕES FINAIS</w:t>
            </w:r>
          </w:p>
        </w:tc>
      </w:tr>
      <w:tr w:rsidR="00817793" w14:paraId="23DB8928" w14:textId="77777777" w:rsidTr="704C5938">
        <w:tc>
          <w:tcPr>
            <w:tcW w:w="4551" w:type="dxa"/>
            <w:vAlign w:val="center"/>
          </w:tcPr>
          <w:p w14:paraId="6C3A33D3" w14:textId="77777777" w:rsidR="00817793" w:rsidRDefault="002719FC">
            <w:pPr>
              <w:spacing w:before="120" w:after="120"/>
              <w:jc w:val="center"/>
              <w:rPr>
                <w:i/>
              </w:rPr>
            </w:pPr>
            <w:r>
              <w:rPr>
                <w:i/>
              </w:rPr>
              <w:t>Proponente</w:t>
            </w:r>
          </w:p>
        </w:tc>
        <w:tc>
          <w:tcPr>
            <w:tcW w:w="4551" w:type="dxa"/>
            <w:vAlign w:val="center"/>
          </w:tcPr>
          <w:p w14:paraId="611970C8" w14:textId="77777777" w:rsidR="00817793" w:rsidRDefault="002719FC">
            <w:pPr>
              <w:spacing w:before="120" w:after="120"/>
              <w:jc w:val="center"/>
              <w:rPr>
                <w:i/>
              </w:rPr>
            </w:pPr>
            <w:r>
              <w:rPr>
                <w:i/>
              </w:rPr>
              <w:t>Parecerista</w:t>
            </w:r>
          </w:p>
        </w:tc>
      </w:tr>
      <w:tr w:rsidR="00817793" w14:paraId="5A58E0CC" w14:textId="77777777" w:rsidTr="704C5938">
        <w:tc>
          <w:tcPr>
            <w:tcW w:w="4551" w:type="dxa"/>
            <w:vAlign w:val="center"/>
          </w:tcPr>
          <w:p w14:paraId="7656B55E" w14:textId="77777777" w:rsidR="00817793" w:rsidRDefault="002719FC">
            <w:pPr>
              <w:spacing w:before="120" w:after="120"/>
              <w:rPr>
                <w:highlight w:val="cyan"/>
              </w:rPr>
            </w:pPr>
            <w:r>
              <w:t xml:space="preserve">Com base nas evidências apresentadas, </w:t>
            </w:r>
            <w:proofErr w:type="spellStart"/>
            <w:r>
              <w:t>anifrolumabe</w:t>
            </w:r>
            <w:proofErr w:type="spellEnd"/>
            <w:r>
              <w:t xml:space="preserve"> se mostra como um tratamento eficaz e seguro para o tratamento de pacientes com LES com moderada a alta atividade da doença refratários ao tratamento padrão. O medicamento proporciona benefícios clínicos significativos, incluindo a melhora da atividade da doença, redução do uso de corticosteroides e controle mais eficaz das manifestações do LES, entre elas cutâneas e articulares, além de um perfil de segurança favorável, com menor incidência de eventos adversos graves. Diante disso, recomenda-se a incorporação do </w:t>
            </w:r>
            <w:proofErr w:type="spellStart"/>
            <w:r>
              <w:t>anifrolumabe</w:t>
            </w:r>
            <w:proofErr w:type="spellEnd"/>
            <w:r>
              <w:t xml:space="preserve"> no Rol da Agência Nacional de Saúde Suplementar (ANS).</w:t>
            </w:r>
          </w:p>
        </w:tc>
        <w:tc>
          <w:tcPr>
            <w:tcW w:w="4551" w:type="dxa"/>
            <w:vAlign w:val="center"/>
          </w:tcPr>
          <w:p w14:paraId="67F72A98" w14:textId="77777777" w:rsidR="00817793" w:rsidRDefault="002719FC">
            <w:pPr>
              <w:spacing w:before="120" w:after="120"/>
            </w:pPr>
            <w:r>
              <w:t>De acordo com as evidências apresentadas, os estudos possuem fragilidades significativas quanto à representatividade da população-alvo proposta para a incorporação. Essa população inclui pacientes com lúpus eritematoso sistêmico positivo para autoanticorpos, com 18 anos ou mais, em uso de terapia tripla (hidroxicloroquina + corticosteroide [prednisona ≥7,5 mg/dia ou equivalente] + imunossupressor [</w:t>
            </w:r>
            <w:proofErr w:type="spellStart"/>
            <w:r>
              <w:t>azatioprina</w:t>
            </w:r>
            <w:proofErr w:type="spellEnd"/>
            <w:r>
              <w:t xml:space="preserve">, </w:t>
            </w:r>
            <w:proofErr w:type="spellStart"/>
            <w:r>
              <w:t>micofenolato</w:t>
            </w:r>
            <w:proofErr w:type="spellEnd"/>
            <w:r>
              <w:t xml:space="preserve"> ou metotrexato]), que apresentem intolerância ou falha após 24 semanas de tratamento, e estejam em atividade moderada a grave, com pelo menos um dos seguintes critérios: SLEDAI-2K ≥10 ou CLASI ≥10.</w:t>
            </w:r>
          </w:p>
          <w:p w14:paraId="32D8BE09" w14:textId="3F191D2B" w:rsidR="002719FC" w:rsidRDefault="002719FC">
            <w:pPr>
              <w:spacing w:before="120" w:after="120"/>
            </w:pPr>
            <w:r>
              <w:t xml:space="preserve">Há necessidade de mais estudos que incluam especificamente essa população em terapia </w:t>
            </w:r>
            <w:r>
              <w:lastRenderedPageBreak/>
              <w:t>tripla. Na ausência dessa inclusão, seria essencial que os resultados reportados fossem categorizados de forma clara, considerando pacientes em terapia tripla, dupla ou única, para melhor interpretação e aplicabilidade dos dados.</w:t>
            </w:r>
          </w:p>
        </w:tc>
      </w:tr>
    </w:tbl>
    <w:p w14:paraId="1D7C5243" w14:textId="421E1601" w:rsidR="00817793" w:rsidRDefault="002719FC">
      <w:pPr>
        <w:spacing w:before="120" w:after="120" w:line="240" w:lineRule="auto"/>
        <w:jc w:val="center"/>
        <w:rPr>
          <w:smallCaps/>
          <w:highlight w:val="cyan"/>
        </w:rPr>
      </w:pPr>
      <w:r>
        <w:rPr>
          <w:sz w:val="20"/>
          <w:szCs w:val="20"/>
        </w:rPr>
        <w:lastRenderedPageBreak/>
        <w:t>Legenda: (*) Os pacientes estavam em tratamento estável com pelo menos um dos seguintes medicamentos: Corticosteroides orais (como a prednisona) ou equivalente</w:t>
      </w:r>
      <w:r w:rsidR="00B64789">
        <w:rPr>
          <w:sz w:val="20"/>
          <w:szCs w:val="20"/>
        </w:rPr>
        <w:t>;</w:t>
      </w:r>
      <w:r>
        <w:rPr>
          <w:sz w:val="20"/>
          <w:szCs w:val="20"/>
        </w:rPr>
        <w:t xml:space="preserve"> Antimaláricos (como a hidroxicloroquina)</w:t>
      </w:r>
      <w:r w:rsidR="00B64789">
        <w:rPr>
          <w:sz w:val="20"/>
          <w:szCs w:val="20"/>
        </w:rPr>
        <w:t>;</w:t>
      </w:r>
      <w:r>
        <w:rPr>
          <w:sz w:val="20"/>
          <w:szCs w:val="20"/>
        </w:rPr>
        <w:t xml:space="preserve"> Imunossupressores </w:t>
      </w:r>
      <w:r w:rsidR="00B64789">
        <w:rPr>
          <w:sz w:val="20"/>
          <w:szCs w:val="20"/>
        </w:rPr>
        <w:t>(</w:t>
      </w:r>
      <w:r>
        <w:rPr>
          <w:sz w:val="20"/>
          <w:szCs w:val="20"/>
        </w:rPr>
        <w:t xml:space="preserve">incluindo: </w:t>
      </w:r>
      <w:proofErr w:type="spellStart"/>
      <w:r>
        <w:rPr>
          <w:sz w:val="20"/>
          <w:szCs w:val="20"/>
        </w:rPr>
        <w:t>Azatioprina</w:t>
      </w:r>
      <w:proofErr w:type="spellEnd"/>
      <w:r>
        <w:rPr>
          <w:sz w:val="20"/>
          <w:szCs w:val="20"/>
        </w:rPr>
        <w:t xml:space="preserve">, </w:t>
      </w:r>
      <w:proofErr w:type="spellStart"/>
      <w:r>
        <w:rPr>
          <w:sz w:val="20"/>
          <w:szCs w:val="20"/>
        </w:rPr>
        <w:t>Mizoribina</w:t>
      </w:r>
      <w:proofErr w:type="spellEnd"/>
      <w:r>
        <w:rPr>
          <w:sz w:val="20"/>
          <w:szCs w:val="20"/>
        </w:rPr>
        <w:t xml:space="preserve">, </w:t>
      </w:r>
      <w:proofErr w:type="spellStart"/>
      <w:r>
        <w:rPr>
          <w:sz w:val="20"/>
          <w:szCs w:val="20"/>
        </w:rPr>
        <w:t>Micofenolato</w:t>
      </w:r>
      <w:proofErr w:type="spellEnd"/>
      <w:r>
        <w:rPr>
          <w:sz w:val="20"/>
          <w:szCs w:val="20"/>
        </w:rPr>
        <w:t xml:space="preserve"> </w:t>
      </w:r>
      <w:proofErr w:type="spellStart"/>
      <w:r>
        <w:rPr>
          <w:sz w:val="20"/>
          <w:szCs w:val="20"/>
        </w:rPr>
        <w:t>mofetil</w:t>
      </w:r>
      <w:proofErr w:type="spellEnd"/>
      <w:r>
        <w:rPr>
          <w:sz w:val="20"/>
          <w:szCs w:val="20"/>
        </w:rPr>
        <w:t xml:space="preserve"> ou ácido </w:t>
      </w:r>
      <w:proofErr w:type="spellStart"/>
      <w:r>
        <w:rPr>
          <w:sz w:val="20"/>
          <w:szCs w:val="20"/>
        </w:rPr>
        <w:t>micofenólico</w:t>
      </w:r>
      <w:proofErr w:type="spellEnd"/>
      <w:r>
        <w:rPr>
          <w:sz w:val="20"/>
          <w:szCs w:val="20"/>
        </w:rPr>
        <w:t>, Metotrexato</w:t>
      </w:r>
      <w:r w:rsidR="00B64789">
        <w:rPr>
          <w:sz w:val="20"/>
          <w:szCs w:val="20"/>
        </w:rPr>
        <w:t>)</w:t>
      </w:r>
      <w:r>
        <w:rPr>
          <w:sz w:val="20"/>
          <w:szCs w:val="20"/>
        </w:rPr>
        <w:t>.</w:t>
      </w:r>
    </w:p>
    <w:p w14:paraId="562C75D1" w14:textId="7CAB9950" w:rsidR="00817793" w:rsidRDefault="002719FC">
      <w:pPr>
        <w:spacing w:before="0" w:after="160" w:line="259" w:lineRule="auto"/>
        <w:jc w:val="left"/>
        <w:rPr>
          <w:highlight w:val="yellow"/>
        </w:rPr>
      </w:pPr>
      <w:r>
        <w:br w:type="page"/>
      </w:r>
      <w:bookmarkStart w:id="4" w:name="_3znysh7" w:colFirst="0" w:colLast="0"/>
      <w:bookmarkEnd w:id="4"/>
    </w:p>
    <w:p w14:paraId="06A84650" w14:textId="77777777" w:rsidR="00817793" w:rsidRDefault="002719FC">
      <w:pPr>
        <w:pStyle w:val="Ttulo1"/>
      </w:pPr>
      <w:r>
        <w:lastRenderedPageBreak/>
        <w:t>3. CONDIÇÃO CLÍNICA</w:t>
      </w:r>
    </w:p>
    <w:p w14:paraId="0974F736" w14:textId="77777777" w:rsidR="00817793" w:rsidRDefault="002719FC">
      <w:pPr>
        <w:pStyle w:val="Ttulo2"/>
      </w:pPr>
      <w:bookmarkStart w:id="5" w:name="_tyjcwt" w:colFirst="0" w:colLast="0"/>
      <w:bookmarkEnd w:id="5"/>
      <w:r>
        <w:t>3.1. Aspectos clínicos e epidemiológicos</w:t>
      </w:r>
    </w:p>
    <w:p w14:paraId="1AB7A07D" w14:textId="77777777" w:rsidR="00924AC8" w:rsidRDefault="00924AC8">
      <w:pPr>
        <w:rPr>
          <w:b/>
        </w:rPr>
      </w:pPr>
    </w:p>
    <w:p w14:paraId="56EB3792" w14:textId="77777777" w:rsidR="00817793" w:rsidRDefault="002719FC">
      <w:pPr>
        <w:rPr>
          <w:b/>
        </w:rPr>
      </w:pPr>
      <w:r>
        <w:rPr>
          <w:b/>
        </w:rPr>
        <w:t>Definição</w:t>
      </w:r>
    </w:p>
    <w:p w14:paraId="6930D064" w14:textId="77777777" w:rsidR="00817793" w:rsidRDefault="002719FC">
      <w:pPr>
        <w:ind w:firstLine="720"/>
      </w:pPr>
      <w:proofErr w:type="gramStart"/>
      <w:r>
        <w:t>O lúpus</w:t>
      </w:r>
      <w:proofErr w:type="gramEnd"/>
      <w:r>
        <w:t xml:space="preserve"> eritematoso sistêmico (LES) é uma doença autoimune crônica, complexa e multissistêmica, caracterizada pela produção de autoanticorpos e inflamação em múltiplos órgãos e tecidos. Sua etiologia é multifatorial, envolvendo interações entre fatores genéticos, ambientais e hormonais, o que resulta em uma ampla gama de manifestações clínicas e laboratoriais. A resposta imunológica desregulada no LES é mediada por mecanismos como a perda da tolerância imunológica, hiperatividade das células B e produção excessiva de autoanticorpos, incluindo anticorpos antinucleares (ANA) e </w:t>
      </w:r>
      <w:proofErr w:type="spellStart"/>
      <w:r>
        <w:t>anti-DNA</w:t>
      </w:r>
      <w:proofErr w:type="spellEnd"/>
      <w:r>
        <w:t xml:space="preserve"> de fita dupla, que desempenham papel central na patogênese da doença (Mansour &amp; </w:t>
      </w:r>
      <w:proofErr w:type="spellStart"/>
      <w:r>
        <w:t>Helaly</w:t>
      </w:r>
      <w:proofErr w:type="spellEnd"/>
      <w:r>
        <w:t xml:space="preserve">, 2018; </w:t>
      </w:r>
      <w:proofErr w:type="spellStart"/>
      <w:r>
        <w:t>Font</w:t>
      </w:r>
      <w:proofErr w:type="spellEnd"/>
      <w:r>
        <w:t xml:space="preserve"> et al., 2004).</w:t>
      </w:r>
    </w:p>
    <w:p w14:paraId="1116DD7B" w14:textId="77777777" w:rsidR="00817793" w:rsidRDefault="002719FC">
      <w:pPr>
        <w:rPr>
          <w:b/>
        </w:rPr>
      </w:pPr>
      <w:r>
        <w:rPr>
          <w:b/>
        </w:rPr>
        <w:t>Características Clínicas Principais</w:t>
      </w:r>
    </w:p>
    <w:p w14:paraId="7D718B3F" w14:textId="77777777" w:rsidR="00817793" w:rsidRDefault="002719FC">
      <w:pPr>
        <w:ind w:firstLine="720"/>
      </w:pPr>
      <w:r>
        <w:t>As manifestações clínicas do LES são extremamente heterogêneas e podem variar de sintomas leves a quadros graves e potencialmente fatais. Entre as principais manifestações, destacam-se:</w:t>
      </w:r>
    </w:p>
    <w:p w14:paraId="6FDD733B" w14:textId="77777777" w:rsidR="00817793" w:rsidRDefault="002719FC">
      <w:pPr>
        <w:numPr>
          <w:ilvl w:val="0"/>
          <w:numId w:val="17"/>
        </w:numPr>
        <w:spacing w:after="0"/>
      </w:pPr>
      <w:r>
        <w:t xml:space="preserve">Manifestações mucocutâneas: Incluem erupções cutâneas, como o clássico eritema malar ("asa de borboleta"), lesões discoides, fotossensibilidade e úlceras orais. Essas manifestações estão presentes em uma proporção significativa dos casos e são frequentemente utilizadas como critérios diagnósticos (Mansour &amp; </w:t>
      </w:r>
      <w:proofErr w:type="spellStart"/>
      <w:r>
        <w:t>Helaly</w:t>
      </w:r>
      <w:proofErr w:type="spellEnd"/>
      <w:r>
        <w:t xml:space="preserve">, 2018; </w:t>
      </w:r>
      <w:proofErr w:type="spellStart"/>
      <w:r>
        <w:t>Font</w:t>
      </w:r>
      <w:proofErr w:type="spellEnd"/>
      <w:r>
        <w:t xml:space="preserve"> et al., 2004).</w:t>
      </w:r>
    </w:p>
    <w:p w14:paraId="4FD67BF7" w14:textId="77777777" w:rsidR="00817793" w:rsidRDefault="002719FC">
      <w:pPr>
        <w:numPr>
          <w:ilvl w:val="0"/>
          <w:numId w:val="17"/>
        </w:numPr>
        <w:spacing w:before="0" w:after="0"/>
      </w:pPr>
      <w:r>
        <w:t>Comprometimento articular: A artrite ou artralgia está presente em até 90% dos pacientes com LES, geralmente de forma não erosiva, mas pode causar dor significativa e limitar a funcionalidade (</w:t>
      </w:r>
      <w:proofErr w:type="spellStart"/>
      <w:r>
        <w:t>Font</w:t>
      </w:r>
      <w:proofErr w:type="spellEnd"/>
      <w:r>
        <w:t xml:space="preserve"> et al., 2004).</w:t>
      </w:r>
    </w:p>
    <w:p w14:paraId="603F11D0" w14:textId="77777777" w:rsidR="00817793" w:rsidRDefault="002719FC">
      <w:pPr>
        <w:numPr>
          <w:ilvl w:val="0"/>
          <w:numId w:val="17"/>
        </w:numPr>
        <w:spacing w:before="0" w:after="0"/>
      </w:pPr>
      <w:r>
        <w:t xml:space="preserve">Manifestações hematológicas: Compreendem anemia hemolítica, leucopenia e trombocitopenia, frequentemente associadas à presença de anticorpos </w:t>
      </w:r>
      <w:proofErr w:type="spellStart"/>
      <w:r>
        <w:t>antifosfolipídicos</w:t>
      </w:r>
      <w:proofErr w:type="spellEnd"/>
      <w:r>
        <w:t xml:space="preserve"> e risco aumentado de eventos trombóticos (Mansour &amp; </w:t>
      </w:r>
      <w:proofErr w:type="spellStart"/>
      <w:r>
        <w:t>Helaly</w:t>
      </w:r>
      <w:proofErr w:type="spellEnd"/>
      <w:r>
        <w:t xml:space="preserve">, 2018; </w:t>
      </w:r>
      <w:proofErr w:type="spellStart"/>
      <w:r>
        <w:t>Font</w:t>
      </w:r>
      <w:proofErr w:type="spellEnd"/>
      <w:r>
        <w:t xml:space="preserve"> et al., 2004).</w:t>
      </w:r>
    </w:p>
    <w:p w14:paraId="29230240" w14:textId="77777777" w:rsidR="00817793" w:rsidRDefault="002719FC">
      <w:pPr>
        <w:numPr>
          <w:ilvl w:val="0"/>
          <w:numId w:val="17"/>
        </w:numPr>
        <w:spacing w:before="0" w:after="0"/>
      </w:pPr>
      <w:r>
        <w:lastRenderedPageBreak/>
        <w:t xml:space="preserve">Comprometimento renal: A nefrite </w:t>
      </w:r>
      <w:proofErr w:type="spellStart"/>
      <w:r>
        <w:t>lúpica</w:t>
      </w:r>
      <w:proofErr w:type="spellEnd"/>
      <w:r>
        <w:t xml:space="preserve"> é uma das complicações mais graves e comuns, afetando cerca de 50% dos pacientes ao longo da vida. Está associada a proteinúria, hematúria e, em casos avançados, insuficiência renal crônica. A biópsia renal é essencial para o diagnóstico e manejo (</w:t>
      </w:r>
      <w:proofErr w:type="spellStart"/>
      <w:r>
        <w:t>Font</w:t>
      </w:r>
      <w:proofErr w:type="spellEnd"/>
      <w:r>
        <w:t xml:space="preserve"> et al., 2004).</w:t>
      </w:r>
    </w:p>
    <w:p w14:paraId="2AD5DCF7" w14:textId="77777777" w:rsidR="00817793" w:rsidRDefault="002719FC">
      <w:pPr>
        <w:numPr>
          <w:ilvl w:val="0"/>
          <w:numId w:val="17"/>
        </w:numPr>
        <w:spacing w:before="0" w:after="0"/>
      </w:pPr>
      <w:r>
        <w:t xml:space="preserve">Sistema nervoso central: Envolvimento neurológico é observado em até 40% dos casos, incluindo manifestações como psicose, convulsões, cefaleia persistente e neuropatias. A presença de anticorpos </w:t>
      </w:r>
      <w:proofErr w:type="spellStart"/>
      <w:r>
        <w:t>antifosfolipídicos</w:t>
      </w:r>
      <w:proofErr w:type="spellEnd"/>
      <w:r>
        <w:t xml:space="preserve"> está frequentemente associada a eventos </w:t>
      </w:r>
      <w:proofErr w:type="spellStart"/>
      <w:r>
        <w:t>neurovasculares</w:t>
      </w:r>
      <w:proofErr w:type="spellEnd"/>
      <w:r>
        <w:t xml:space="preserve"> (</w:t>
      </w:r>
      <w:proofErr w:type="spellStart"/>
      <w:r>
        <w:t>Hochberg</w:t>
      </w:r>
      <w:proofErr w:type="spellEnd"/>
      <w:r>
        <w:t xml:space="preserve"> &amp; Petri, 1993; </w:t>
      </w:r>
      <w:proofErr w:type="spellStart"/>
      <w:r>
        <w:t>Font</w:t>
      </w:r>
      <w:proofErr w:type="spellEnd"/>
      <w:r>
        <w:t xml:space="preserve"> et al., 2004).</w:t>
      </w:r>
    </w:p>
    <w:p w14:paraId="6B0B1D43" w14:textId="77777777" w:rsidR="00817793" w:rsidRDefault="002719FC">
      <w:pPr>
        <w:numPr>
          <w:ilvl w:val="0"/>
          <w:numId w:val="17"/>
        </w:numPr>
        <w:spacing w:before="0"/>
      </w:pPr>
      <w:r>
        <w:t xml:space="preserve">Serosite: Pleurite e pericardite são manifestações frequentes, caracterizadas por dor torácica, derrame pleural ou pericárdico e, em casos raros, tamponamento cardíaco (Mansour &amp; </w:t>
      </w:r>
      <w:proofErr w:type="spellStart"/>
      <w:r>
        <w:t>Helaly</w:t>
      </w:r>
      <w:proofErr w:type="spellEnd"/>
      <w:r>
        <w:t>, 2018).</w:t>
      </w:r>
    </w:p>
    <w:p w14:paraId="16EA6E6E" w14:textId="77777777" w:rsidR="00817793" w:rsidRDefault="002719FC">
      <w:pPr>
        <w:rPr>
          <w:b/>
        </w:rPr>
      </w:pPr>
      <w:r>
        <w:rPr>
          <w:b/>
        </w:rPr>
        <w:t>Causas</w:t>
      </w:r>
    </w:p>
    <w:p w14:paraId="197514A9" w14:textId="77777777" w:rsidR="00817793" w:rsidRDefault="002719FC">
      <w:r>
        <w:t>O LES resulta de uma interação complexa entre fatores genéticos, ambientais e hormonais:</w:t>
      </w:r>
    </w:p>
    <w:p w14:paraId="073B505F" w14:textId="77777777" w:rsidR="00817793" w:rsidRDefault="002719FC">
      <w:pPr>
        <w:numPr>
          <w:ilvl w:val="0"/>
          <w:numId w:val="20"/>
        </w:numPr>
        <w:spacing w:after="0"/>
      </w:pPr>
      <w:r>
        <w:t>Genéticos: Mais de 100 loci de risco foram associados ao LES, indicando uma predisposição genética significativa (</w:t>
      </w:r>
      <w:proofErr w:type="spellStart"/>
      <w:r>
        <w:t>Moulton</w:t>
      </w:r>
      <w:proofErr w:type="spellEnd"/>
      <w:r>
        <w:t xml:space="preserve"> et al., 2017).</w:t>
      </w:r>
    </w:p>
    <w:p w14:paraId="3FD8BFBC" w14:textId="77777777" w:rsidR="00817793" w:rsidRDefault="002719FC">
      <w:pPr>
        <w:numPr>
          <w:ilvl w:val="0"/>
          <w:numId w:val="20"/>
        </w:numPr>
        <w:spacing w:before="0" w:after="0"/>
      </w:pPr>
      <w:r>
        <w:t>Ambientais: Exposição a agentes como sílica, tabagismo e infecções virais (e.g., Epstein-Barr) pode desencadear a autoimunidade (</w:t>
      </w:r>
      <w:proofErr w:type="spellStart"/>
      <w:r>
        <w:t>Barbhaiya</w:t>
      </w:r>
      <w:proofErr w:type="spellEnd"/>
      <w:r>
        <w:t xml:space="preserve"> &amp; </w:t>
      </w:r>
      <w:proofErr w:type="spellStart"/>
      <w:r>
        <w:t>Costenbader</w:t>
      </w:r>
      <w:proofErr w:type="spellEnd"/>
      <w:r>
        <w:t>, 2016).</w:t>
      </w:r>
    </w:p>
    <w:p w14:paraId="5C34AE7A" w14:textId="77777777" w:rsidR="00817793" w:rsidRDefault="002719FC">
      <w:pPr>
        <w:numPr>
          <w:ilvl w:val="0"/>
          <w:numId w:val="20"/>
        </w:numPr>
        <w:spacing w:before="0"/>
      </w:pPr>
      <w:r>
        <w:t xml:space="preserve">Hormonais: A alta prevalência em mulheres em idade fértil sugere um papel importante dos hormônios sexuais na modulação da resposta imunológica (Mok &amp; </w:t>
      </w:r>
      <w:proofErr w:type="spellStart"/>
      <w:r>
        <w:t>Lau</w:t>
      </w:r>
      <w:proofErr w:type="spellEnd"/>
      <w:r>
        <w:t>, 2003).</w:t>
      </w:r>
    </w:p>
    <w:p w14:paraId="2D3F9892" w14:textId="77777777" w:rsidR="00817793" w:rsidRDefault="002719FC">
      <w:pPr>
        <w:rPr>
          <w:b/>
        </w:rPr>
      </w:pPr>
      <w:r>
        <w:rPr>
          <w:b/>
        </w:rPr>
        <w:t>Classificação</w:t>
      </w:r>
    </w:p>
    <w:p w14:paraId="68002112" w14:textId="77777777" w:rsidR="00817793" w:rsidRDefault="002719FC">
      <w:pPr>
        <w:ind w:firstLine="720"/>
      </w:pPr>
      <w:r>
        <w:t>Os critérios de classificação são ferramentas essenciais para o diagnóstico de LES, permitindo a padronização em estudos clínicos e a identificação precoce de casos na prática clínica. Os principais critérios incluem:</w:t>
      </w:r>
    </w:p>
    <w:p w14:paraId="4C569111" w14:textId="77777777" w:rsidR="00817793" w:rsidRDefault="002719FC">
      <w:pPr>
        <w:numPr>
          <w:ilvl w:val="0"/>
          <w:numId w:val="7"/>
        </w:numPr>
        <w:spacing w:after="0"/>
      </w:pPr>
      <w:r>
        <w:t>Critérios EULAR/ACR 2019: Requerem um teste positivo de ANA como critério de entrada e utilizam um sistema de pontuação baseado em domínios clínicos e imunológicos. Um escore ≥10 confirma a classificação como LES (</w:t>
      </w:r>
      <w:proofErr w:type="spellStart"/>
      <w:r>
        <w:t>Aringer</w:t>
      </w:r>
      <w:proofErr w:type="spellEnd"/>
      <w:r>
        <w:t xml:space="preserve"> et al., 2019).</w:t>
      </w:r>
    </w:p>
    <w:p w14:paraId="29D271CD" w14:textId="77777777" w:rsidR="00817793" w:rsidRDefault="002719FC">
      <w:pPr>
        <w:numPr>
          <w:ilvl w:val="0"/>
          <w:numId w:val="7"/>
        </w:numPr>
        <w:spacing w:before="0" w:after="0"/>
      </w:pPr>
      <w:r>
        <w:lastRenderedPageBreak/>
        <w:t xml:space="preserve">Critérios SLICC 2012: Possuem maior sensibilidade em comparação aos critérios ACR 1997, incluindo manifestações clínicas e imunológicas específicas. Permitem a classificação com base na presença de pelo menos quatro critérios, sendo um clínico e um imunológico, ou biópsia renal compatível com nefrite </w:t>
      </w:r>
      <w:proofErr w:type="spellStart"/>
      <w:r>
        <w:t>lúpica</w:t>
      </w:r>
      <w:proofErr w:type="spellEnd"/>
      <w:r>
        <w:t xml:space="preserve"> (Inês et al., 2015).</w:t>
      </w:r>
    </w:p>
    <w:p w14:paraId="263E43E5" w14:textId="77777777" w:rsidR="00817793" w:rsidRDefault="002719FC">
      <w:pPr>
        <w:numPr>
          <w:ilvl w:val="0"/>
          <w:numId w:val="7"/>
        </w:numPr>
        <w:spacing w:before="0"/>
      </w:pPr>
      <w:r>
        <w:t>Critérios ACR 1997: Apesar de sua alta especificidade, apresentam menor sensibilidade em comparação aos critérios mais recentes. São amplamente utilizados em estudos de coorte por sua simplicidade e precisão (Hartman et al., 2018).</w:t>
      </w:r>
    </w:p>
    <w:p w14:paraId="296A99C9" w14:textId="77777777" w:rsidR="00817793" w:rsidRDefault="002719FC">
      <w:pPr>
        <w:rPr>
          <w:b/>
        </w:rPr>
      </w:pPr>
      <w:r>
        <w:rPr>
          <w:b/>
        </w:rPr>
        <w:t>Complicações</w:t>
      </w:r>
    </w:p>
    <w:p w14:paraId="4D235157" w14:textId="77777777" w:rsidR="00817793" w:rsidRDefault="002719FC">
      <w:pPr>
        <w:ind w:firstLine="720"/>
      </w:pPr>
      <w:r>
        <w:t>O LES está associado a uma série de complicações que impactam significativamente a morbidade e mortalidade dos pacientes:</w:t>
      </w:r>
    </w:p>
    <w:p w14:paraId="6D1DD962" w14:textId="77777777" w:rsidR="00817793" w:rsidRDefault="002719FC">
      <w:pPr>
        <w:numPr>
          <w:ilvl w:val="0"/>
          <w:numId w:val="3"/>
        </w:numPr>
        <w:spacing w:after="0"/>
      </w:pPr>
      <w:r>
        <w:t xml:space="preserve">Neurológicas: Incluem manifestações neuropsiquiátricas, como psicose, convulsões e acidente vascular cerebral, frequentemente relacionadas à presença de anticorpos </w:t>
      </w:r>
      <w:proofErr w:type="spellStart"/>
      <w:r>
        <w:t>antifosfolipídicos</w:t>
      </w:r>
      <w:proofErr w:type="spellEnd"/>
      <w:r>
        <w:t xml:space="preserve"> (</w:t>
      </w:r>
      <w:proofErr w:type="spellStart"/>
      <w:r>
        <w:t>Shaban</w:t>
      </w:r>
      <w:proofErr w:type="spellEnd"/>
      <w:r>
        <w:t xml:space="preserve"> &amp; Leira, 2019).</w:t>
      </w:r>
    </w:p>
    <w:p w14:paraId="500EC910" w14:textId="77777777" w:rsidR="00817793" w:rsidRDefault="002719FC">
      <w:pPr>
        <w:numPr>
          <w:ilvl w:val="0"/>
          <w:numId w:val="3"/>
        </w:numPr>
        <w:spacing w:before="0" w:after="0"/>
      </w:pPr>
      <w:r>
        <w:t>Cardiovasculares: Pacientes com LES apresentam risco aumentado de aterosclerose precoce, eventos cardiovasculares e doenças valvares, atribuídos tanto à inflamação crônica quanto ao uso prolongado de corticosteroides (Fava &amp; Petri, 2019).</w:t>
      </w:r>
    </w:p>
    <w:p w14:paraId="49DA7F93" w14:textId="77777777" w:rsidR="00817793" w:rsidRDefault="002719FC">
      <w:pPr>
        <w:numPr>
          <w:ilvl w:val="0"/>
          <w:numId w:val="3"/>
        </w:numPr>
        <w:spacing w:before="0" w:after="0"/>
      </w:pPr>
      <w:r>
        <w:t>Infecções: O uso de imunossupressores e a disfunção imunológica intrínseca ao LES aumentam a suscetibilidade a infecções bacterianas, virais e fúngicas, representando uma das principais causas de mortalidade (Steiger et al., 2022).</w:t>
      </w:r>
    </w:p>
    <w:p w14:paraId="0E104BDA" w14:textId="77777777" w:rsidR="00817793" w:rsidRDefault="002719FC">
      <w:pPr>
        <w:numPr>
          <w:ilvl w:val="0"/>
          <w:numId w:val="3"/>
        </w:numPr>
        <w:spacing w:before="0" w:after="0"/>
      </w:pPr>
      <w:r>
        <w:t xml:space="preserve">Renais: A nefrite </w:t>
      </w:r>
      <w:proofErr w:type="spellStart"/>
      <w:r>
        <w:t>lúpica</w:t>
      </w:r>
      <w:proofErr w:type="spellEnd"/>
      <w:r>
        <w:t xml:space="preserve"> é uma das principais causas de morbidade, podendo evoluir para insuficiência renal terminal se não tratada adequadamente (Steiger et al., 2022).</w:t>
      </w:r>
    </w:p>
    <w:p w14:paraId="6D82ADF4" w14:textId="77777777" w:rsidR="00817793" w:rsidRDefault="002719FC">
      <w:pPr>
        <w:numPr>
          <w:ilvl w:val="0"/>
          <w:numId w:val="3"/>
        </w:numPr>
        <w:spacing w:before="0"/>
      </w:pPr>
      <w:r>
        <w:t>Psiquiátricas: Transtornos de ansiedade e depressão são comuns, impactando negativamente a qualidade de vida (</w:t>
      </w:r>
      <w:proofErr w:type="spellStart"/>
      <w:r>
        <w:t>Gergianaki</w:t>
      </w:r>
      <w:proofErr w:type="spellEnd"/>
      <w:r>
        <w:t xml:space="preserve"> et al., 2021).</w:t>
      </w:r>
    </w:p>
    <w:p w14:paraId="42119AE4" w14:textId="77777777" w:rsidR="00817793" w:rsidRDefault="002719FC">
      <w:pPr>
        <w:rPr>
          <w:b/>
        </w:rPr>
      </w:pPr>
      <w:r>
        <w:rPr>
          <w:b/>
        </w:rPr>
        <w:t>Epidemiologia</w:t>
      </w:r>
    </w:p>
    <w:p w14:paraId="4D60CCFB" w14:textId="77777777" w:rsidR="00817793" w:rsidRDefault="002719FC">
      <w:pPr>
        <w:ind w:firstLine="720"/>
      </w:pPr>
      <w:r>
        <w:t xml:space="preserve">A incidência global do LES é estimada em 5,14 casos por 100.000 pessoas-ano, com uma prevalência maior em mulheres (8,82/100.000) em comparação aos homens (1,53/100.000) (Tian et al., 2022). A doença é mais </w:t>
      </w:r>
      <w:proofErr w:type="gramStart"/>
      <w:r>
        <w:t>frequente</w:t>
      </w:r>
      <w:proofErr w:type="gramEnd"/>
      <w:r>
        <w:t xml:space="preserve"> em populações de etnia negra e latina, enquanto indivíduos de </w:t>
      </w:r>
      <w:r>
        <w:lastRenderedPageBreak/>
        <w:t>etnia branca apresentam menor prevalência (</w:t>
      </w:r>
      <w:proofErr w:type="spellStart"/>
      <w:r>
        <w:t>Stojan</w:t>
      </w:r>
      <w:proofErr w:type="spellEnd"/>
      <w:r>
        <w:t xml:space="preserve"> &amp; Petri, 2017). No Brasil, estudos epidemiológicos apontam uma incidência média de 8,7 casos por 100.000 pessoas-ano, com maior mortalidade em grupos socioeconômicos desfavorecidos.</w:t>
      </w:r>
    </w:p>
    <w:p w14:paraId="03BA79AA" w14:textId="77777777" w:rsidR="00817793" w:rsidRDefault="002719FC">
      <w:pPr>
        <w:ind w:left="720" w:hanging="720"/>
        <w:rPr>
          <w:b/>
        </w:rPr>
      </w:pPr>
      <w:r>
        <w:rPr>
          <w:b/>
        </w:rPr>
        <w:t>Instrumentos para Avaliação da Atividade e Monitoramento do Lúpus Eritematoso Sistêmico</w:t>
      </w:r>
    </w:p>
    <w:p w14:paraId="33C05F72" w14:textId="77777777" w:rsidR="00817793" w:rsidRDefault="002719FC">
      <w:pPr>
        <w:ind w:firstLine="720"/>
      </w:pPr>
      <w:r>
        <w:t>A avaliação objetiva e padronizada da atividade do Lúpus Eritematoso Sistêmico (LES) é fundamental para o manejo adequado da doença, permitindo decisões terapêuticas baseadas em evidências e a avaliação da resposta ao tratamento. Diversos instrumentos foram desenvolvidos e validados para este fim, cada um com características específicas e aplicações clínicas ou em pesquisa.</w:t>
      </w:r>
    </w:p>
    <w:p w14:paraId="4777868E" w14:textId="77777777" w:rsidR="00817793" w:rsidRDefault="002719FC">
      <w:pPr>
        <w:numPr>
          <w:ilvl w:val="0"/>
          <w:numId w:val="9"/>
        </w:numPr>
      </w:pPr>
      <w:r>
        <w:t>SLEDAI (</w:t>
      </w:r>
      <w:proofErr w:type="spellStart"/>
      <w:r w:rsidRPr="000976E4">
        <w:rPr>
          <w:i/>
          <w:iCs/>
        </w:rPr>
        <w:t>Systemic</w:t>
      </w:r>
      <w:proofErr w:type="spellEnd"/>
      <w:r w:rsidRPr="000976E4">
        <w:rPr>
          <w:i/>
          <w:iCs/>
        </w:rPr>
        <w:t xml:space="preserve"> </w:t>
      </w:r>
      <w:proofErr w:type="spellStart"/>
      <w:r w:rsidRPr="000976E4">
        <w:rPr>
          <w:i/>
          <w:iCs/>
        </w:rPr>
        <w:t>Lupus</w:t>
      </w:r>
      <w:proofErr w:type="spellEnd"/>
      <w:r w:rsidRPr="000976E4">
        <w:rPr>
          <w:i/>
          <w:iCs/>
        </w:rPr>
        <w:t xml:space="preserve"> </w:t>
      </w:r>
      <w:proofErr w:type="spellStart"/>
      <w:r w:rsidRPr="000976E4">
        <w:rPr>
          <w:i/>
          <w:iCs/>
        </w:rPr>
        <w:t>Erythematosus</w:t>
      </w:r>
      <w:proofErr w:type="spellEnd"/>
      <w:r w:rsidRPr="000976E4">
        <w:rPr>
          <w:i/>
          <w:iCs/>
        </w:rPr>
        <w:t xml:space="preserve"> </w:t>
      </w:r>
      <w:proofErr w:type="spellStart"/>
      <w:r w:rsidRPr="000976E4">
        <w:rPr>
          <w:i/>
          <w:iCs/>
        </w:rPr>
        <w:t>Disease</w:t>
      </w:r>
      <w:proofErr w:type="spellEnd"/>
      <w:r w:rsidRPr="000976E4">
        <w:rPr>
          <w:i/>
          <w:iCs/>
        </w:rPr>
        <w:t xml:space="preserve"> </w:t>
      </w:r>
      <w:proofErr w:type="spellStart"/>
      <w:r w:rsidRPr="000976E4">
        <w:rPr>
          <w:i/>
          <w:iCs/>
        </w:rPr>
        <w:t>Activity</w:t>
      </w:r>
      <w:proofErr w:type="spellEnd"/>
      <w:r w:rsidRPr="000976E4">
        <w:rPr>
          <w:i/>
          <w:iCs/>
        </w:rPr>
        <w:t xml:space="preserve"> Index</w:t>
      </w:r>
      <w:r>
        <w:t>)</w:t>
      </w:r>
    </w:p>
    <w:p w14:paraId="66DC6A91" w14:textId="77777777" w:rsidR="00817793" w:rsidRDefault="002719FC">
      <w:pPr>
        <w:ind w:firstLine="720"/>
      </w:pPr>
      <w:r>
        <w:t>O SLEDAI é um dos índices mais utilizados na prática clínica para avaliar a atividade global da doença. Desenvolvido em 1992, consiste em 24 descritores que englobam 9 órgãos/sistemas e considera alterações relacionadas ao LES ocorridas nos 10 dias anteriores à avaliação (PCDT, 2022). Cada descritor recebe uma pontuação pré-definida (1 a 8 pontos), refletindo sua importância clínica, e o escore final varia de 0 a 105 pontos.</w:t>
      </w:r>
    </w:p>
    <w:p w14:paraId="3064E9DA" w14:textId="77777777" w:rsidR="00817793" w:rsidRDefault="002719FC">
      <w:pPr>
        <w:ind w:firstLine="720"/>
      </w:pPr>
      <w:r>
        <w:t>O SLEDAI classifica a atividade da doença em: inativa (0 pontos), leve (1-5 pontos), moderada (6-10 pontos), alta (11-19 pontos) e muito alta (≥20 pontos). Estudos demonstraram que o aumento no escore do SLEDAI associa-se ao aumento da mortalidade, com risco relativo (RR) de 14,1 para morte em 6 meses quando o escore é ≥20 pontos (PCDT, 2022).</w:t>
      </w:r>
    </w:p>
    <w:p w14:paraId="3041E394" w14:textId="167A9520" w:rsidR="00817793" w:rsidRDefault="002719FC" w:rsidP="00B56524">
      <w:pPr>
        <w:ind w:firstLine="720"/>
      </w:pPr>
      <w:r>
        <w:t>O SELENA-SLEDAI é uma variante que consiste no SLEDAI com modificações de alguns descritores, oferecendo validação e aplicação relativamente simples na prática clínica. Esta versão tem sido amplamente utilizada em estudos clínicos e inclui avaliação de exacerbações leves/moderadas e graves (PCDT, 2022).</w:t>
      </w:r>
    </w:p>
    <w:p w14:paraId="5D56D6EB" w14:textId="77777777" w:rsidR="00817793" w:rsidRDefault="002719FC">
      <w:pPr>
        <w:numPr>
          <w:ilvl w:val="0"/>
          <w:numId w:val="1"/>
        </w:numPr>
      </w:pPr>
      <w:r>
        <w:t>SRI-4 (</w:t>
      </w:r>
      <w:proofErr w:type="spellStart"/>
      <w:r w:rsidRPr="000976E4">
        <w:rPr>
          <w:i/>
          <w:iCs/>
        </w:rPr>
        <w:t>Systemic</w:t>
      </w:r>
      <w:proofErr w:type="spellEnd"/>
      <w:r w:rsidRPr="000976E4">
        <w:rPr>
          <w:i/>
          <w:iCs/>
        </w:rPr>
        <w:t xml:space="preserve"> </w:t>
      </w:r>
      <w:proofErr w:type="spellStart"/>
      <w:r w:rsidRPr="000976E4">
        <w:rPr>
          <w:i/>
          <w:iCs/>
        </w:rPr>
        <w:t>Lupus</w:t>
      </w:r>
      <w:proofErr w:type="spellEnd"/>
      <w:r w:rsidRPr="000976E4">
        <w:rPr>
          <w:i/>
          <w:iCs/>
        </w:rPr>
        <w:t xml:space="preserve"> </w:t>
      </w:r>
      <w:proofErr w:type="spellStart"/>
      <w:r w:rsidRPr="000976E4">
        <w:rPr>
          <w:i/>
          <w:iCs/>
        </w:rPr>
        <w:t>Erythematosus</w:t>
      </w:r>
      <w:proofErr w:type="spellEnd"/>
      <w:r w:rsidRPr="000976E4">
        <w:rPr>
          <w:i/>
          <w:iCs/>
        </w:rPr>
        <w:t xml:space="preserve"> Responder Index</w:t>
      </w:r>
      <w:r>
        <w:t>)</w:t>
      </w:r>
    </w:p>
    <w:p w14:paraId="63D7CF05" w14:textId="77777777" w:rsidR="00817793" w:rsidRDefault="002719FC">
      <w:pPr>
        <w:ind w:firstLine="720"/>
      </w:pPr>
      <w:r>
        <w:t xml:space="preserve">O SRI-4 é uma ferramenta composta desenvolvida especificamente para ensaios clínicos de novos medicamentos para LES. Ele define resposta ao tratamento como a melhora de pelo menos 4 </w:t>
      </w:r>
      <w:r>
        <w:lastRenderedPageBreak/>
        <w:t>pontos no escore SELENA-SLEDAI, sem piora no escore BILAG (nenhum novo BILAG A ou mais de um novo BILAG B) e sem piora na avaliação global do médico (PGA) (PCDT, 2022).</w:t>
      </w:r>
    </w:p>
    <w:p w14:paraId="722B00AE" w14:textId="66C59175" w:rsidR="00817793" w:rsidRDefault="002719FC" w:rsidP="00B56524">
      <w:pPr>
        <w:ind w:firstLine="720"/>
      </w:pPr>
      <w:r>
        <w:t xml:space="preserve">Esta ferramenta foi validada em ensaios clínicos e tem sido o desfecho primário em diversos estudos de fase III, incluindo os estudos pivotais do </w:t>
      </w:r>
      <w:proofErr w:type="spellStart"/>
      <w:r>
        <w:t>belimumabe</w:t>
      </w:r>
      <w:proofErr w:type="spellEnd"/>
      <w:r>
        <w:t>. O SRI-4 é particularmente útil por combinar diferentes aspectos da avaliação da doença, oferecendo uma visão mais abrangente da resposta terapêutica.</w:t>
      </w:r>
    </w:p>
    <w:p w14:paraId="430B535E" w14:textId="77777777" w:rsidR="00817793" w:rsidRPr="00115FE0" w:rsidRDefault="002719FC">
      <w:pPr>
        <w:numPr>
          <w:ilvl w:val="0"/>
          <w:numId w:val="19"/>
        </w:numPr>
        <w:rPr>
          <w:lang w:val="de-DE"/>
        </w:rPr>
      </w:pPr>
      <w:bookmarkStart w:id="6" w:name="_2s8eyo1" w:colFirst="0" w:colLast="0"/>
      <w:bookmarkEnd w:id="6"/>
      <w:r w:rsidRPr="00115FE0">
        <w:rPr>
          <w:lang w:val="de-DE"/>
        </w:rPr>
        <w:t>BILAG (</w:t>
      </w:r>
      <w:r w:rsidRPr="000976E4">
        <w:rPr>
          <w:i/>
          <w:iCs/>
          <w:lang w:val="de-DE"/>
        </w:rPr>
        <w:t>British Isles Lupus Assessment Group</w:t>
      </w:r>
      <w:r w:rsidRPr="00115FE0">
        <w:rPr>
          <w:lang w:val="de-DE"/>
        </w:rPr>
        <w:t>)</w:t>
      </w:r>
    </w:p>
    <w:p w14:paraId="0446F334" w14:textId="77777777" w:rsidR="00817793" w:rsidRDefault="002719FC">
      <w:pPr>
        <w:ind w:firstLine="720"/>
      </w:pPr>
      <w:r>
        <w:t>O BILAG é um índice baseado na intenção de tratar do médico, avaliando a atividade da doença em oito sistemas orgânicos separadamente. Para cada sistema, a atividade é classificada em cinco categorias:</w:t>
      </w:r>
    </w:p>
    <w:p w14:paraId="37704CD9" w14:textId="77777777" w:rsidR="00817793" w:rsidRDefault="002719FC">
      <w:r>
        <w:t>A: doença muito ativa, requerendo tratamento imunossupressor em altas doses</w:t>
      </w:r>
    </w:p>
    <w:p w14:paraId="268F6D23" w14:textId="77777777" w:rsidR="00817793" w:rsidRDefault="002719FC">
      <w:r>
        <w:t>B: doença moderadamente ativa, requerendo terapia menos agressiva</w:t>
      </w:r>
    </w:p>
    <w:p w14:paraId="71BDAD02" w14:textId="77777777" w:rsidR="00817793" w:rsidRDefault="002719FC">
      <w:r>
        <w:t>C: doença leve estável</w:t>
      </w:r>
    </w:p>
    <w:p w14:paraId="32FF6C47" w14:textId="77777777" w:rsidR="00817793" w:rsidRDefault="002719FC">
      <w:r>
        <w:t>D: doença previamente ativa, atualmente inativa</w:t>
      </w:r>
    </w:p>
    <w:p w14:paraId="569B33F7" w14:textId="77777777" w:rsidR="00817793" w:rsidRDefault="002719FC">
      <w:r>
        <w:t>E: sistema nunca acometido</w:t>
      </w:r>
    </w:p>
    <w:p w14:paraId="42C6D796" w14:textId="51D0B2B4" w:rsidR="00817793" w:rsidRDefault="002719FC" w:rsidP="00B56524">
      <w:pPr>
        <w:ind w:firstLine="720"/>
      </w:pPr>
      <w:r>
        <w:t>O BILAG-2004 é a versão atualizada que avalia nove sistemas orgânicos: constitucional, mucocutâneo, neuropsiquiátrico, musculoesquelético, cardiorrespiratório, gastrointestinal, oftalmológico, renal e hematológico. Este índice é mais detalhado e sensível a mudanças em sistemas específicos, sendo particularmente útil em estudos clínicos (PCDT, 2022).</w:t>
      </w:r>
    </w:p>
    <w:p w14:paraId="58FCBA8E" w14:textId="77777777" w:rsidR="00817793" w:rsidRDefault="002719FC">
      <w:pPr>
        <w:numPr>
          <w:ilvl w:val="0"/>
          <w:numId w:val="21"/>
        </w:numPr>
      </w:pPr>
      <w:r>
        <w:t>LLDAS (</w:t>
      </w:r>
      <w:proofErr w:type="spellStart"/>
      <w:r w:rsidRPr="000976E4">
        <w:rPr>
          <w:i/>
          <w:iCs/>
        </w:rPr>
        <w:t>Lupus</w:t>
      </w:r>
      <w:proofErr w:type="spellEnd"/>
      <w:r w:rsidRPr="000976E4">
        <w:rPr>
          <w:i/>
          <w:iCs/>
        </w:rPr>
        <w:t xml:space="preserve"> </w:t>
      </w:r>
      <w:proofErr w:type="spellStart"/>
      <w:r w:rsidRPr="000976E4">
        <w:rPr>
          <w:i/>
          <w:iCs/>
        </w:rPr>
        <w:t>Low</w:t>
      </w:r>
      <w:proofErr w:type="spellEnd"/>
      <w:r w:rsidRPr="000976E4">
        <w:rPr>
          <w:i/>
          <w:iCs/>
        </w:rPr>
        <w:t xml:space="preserve"> </w:t>
      </w:r>
      <w:proofErr w:type="spellStart"/>
      <w:r w:rsidRPr="000976E4">
        <w:rPr>
          <w:i/>
          <w:iCs/>
        </w:rPr>
        <w:t>Disease</w:t>
      </w:r>
      <w:proofErr w:type="spellEnd"/>
      <w:r w:rsidRPr="000976E4">
        <w:rPr>
          <w:i/>
          <w:iCs/>
        </w:rPr>
        <w:t xml:space="preserve"> </w:t>
      </w:r>
      <w:proofErr w:type="spellStart"/>
      <w:r w:rsidRPr="000976E4">
        <w:rPr>
          <w:i/>
          <w:iCs/>
        </w:rPr>
        <w:t>Activity</w:t>
      </w:r>
      <w:proofErr w:type="spellEnd"/>
      <w:r w:rsidRPr="000976E4">
        <w:rPr>
          <w:i/>
          <w:iCs/>
        </w:rPr>
        <w:t xml:space="preserve"> </w:t>
      </w:r>
      <w:proofErr w:type="spellStart"/>
      <w:r w:rsidRPr="000976E4">
        <w:rPr>
          <w:i/>
          <w:iCs/>
        </w:rPr>
        <w:t>State</w:t>
      </w:r>
      <w:proofErr w:type="spellEnd"/>
      <w:r>
        <w:t>)</w:t>
      </w:r>
    </w:p>
    <w:p w14:paraId="04989857" w14:textId="77777777" w:rsidR="00817793" w:rsidRDefault="002719FC">
      <w:pPr>
        <w:ind w:firstLine="720"/>
      </w:pPr>
      <w:r>
        <w:t xml:space="preserve">O LLDAS é um estado-alvo de baixa atividade da doença que foi proposto como objetivo terapêutico alcançável para pacientes com LES. É definido pelos seguintes critérios: SLEDAI-2K ≤ 4, sem atividade em órgãos principais (renal, SNC, cardiopulmonar, vasculite, febre) e sem hemólise ou </w:t>
      </w:r>
      <w:r>
        <w:lastRenderedPageBreak/>
        <w:t>trombocitopenia (&lt;60.000/mm³); Ausência de nova atividade da doença; PGA ≤ 1 (escala 0-3); Dose de prednisona ≤ 7,5 mg/dia; Doses toleráveis de imunossupressores e/ou agentes biológicos</w:t>
      </w:r>
    </w:p>
    <w:p w14:paraId="65DF4493" w14:textId="77777777" w:rsidR="00817793" w:rsidRDefault="002719FC">
      <w:pPr>
        <w:numPr>
          <w:ilvl w:val="0"/>
          <w:numId w:val="4"/>
        </w:numPr>
      </w:pPr>
      <w:r>
        <w:t>CLASI (</w:t>
      </w:r>
      <w:proofErr w:type="spellStart"/>
      <w:r w:rsidRPr="000976E4">
        <w:rPr>
          <w:i/>
          <w:iCs/>
        </w:rPr>
        <w:t>Cutaneous</w:t>
      </w:r>
      <w:proofErr w:type="spellEnd"/>
      <w:r w:rsidRPr="000976E4">
        <w:rPr>
          <w:i/>
          <w:iCs/>
        </w:rPr>
        <w:t xml:space="preserve"> </w:t>
      </w:r>
      <w:proofErr w:type="spellStart"/>
      <w:r w:rsidRPr="000976E4">
        <w:rPr>
          <w:i/>
          <w:iCs/>
        </w:rPr>
        <w:t>Lupus</w:t>
      </w:r>
      <w:proofErr w:type="spellEnd"/>
      <w:r w:rsidRPr="000976E4">
        <w:rPr>
          <w:i/>
          <w:iCs/>
        </w:rPr>
        <w:t xml:space="preserve"> </w:t>
      </w:r>
      <w:proofErr w:type="spellStart"/>
      <w:r w:rsidRPr="000976E4">
        <w:rPr>
          <w:i/>
          <w:iCs/>
        </w:rPr>
        <w:t>Erythematosus</w:t>
      </w:r>
      <w:proofErr w:type="spellEnd"/>
      <w:r w:rsidRPr="000976E4">
        <w:rPr>
          <w:i/>
          <w:iCs/>
        </w:rPr>
        <w:t xml:space="preserve"> </w:t>
      </w:r>
      <w:proofErr w:type="spellStart"/>
      <w:r w:rsidRPr="000976E4">
        <w:rPr>
          <w:i/>
          <w:iCs/>
        </w:rPr>
        <w:t>Disease</w:t>
      </w:r>
      <w:proofErr w:type="spellEnd"/>
      <w:r w:rsidRPr="000976E4">
        <w:rPr>
          <w:i/>
          <w:iCs/>
        </w:rPr>
        <w:t xml:space="preserve"> Area </w:t>
      </w:r>
      <w:proofErr w:type="spellStart"/>
      <w:r w:rsidRPr="000976E4">
        <w:rPr>
          <w:i/>
          <w:iCs/>
        </w:rPr>
        <w:t>and</w:t>
      </w:r>
      <w:proofErr w:type="spellEnd"/>
      <w:r w:rsidRPr="000976E4">
        <w:rPr>
          <w:i/>
          <w:iCs/>
        </w:rPr>
        <w:t xml:space="preserve"> </w:t>
      </w:r>
      <w:proofErr w:type="spellStart"/>
      <w:r w:rsidRPr="000976E4">
        <w:rPr>
          <w:i/>
          <w:iCs/>
        </w:rPr>
        <w:t>Severity</w:t>
      </w:r>
      <w:proofErr w:type="spellEnd"/>
      <w:r w:rsidRPr="000976E4">
        <w:rPr>
          <w:i/>
          <w:iCs/>
        </w:rPr>
        <w:t xml:space="preserve"> Index</w:t>
      </w:r>
      <w:r>
        <w:t>)</w:t>
      </w:r>
    </w:p>
    <w:p w14:paraId="6C93E149" w14:textId="77777777" w:rsidR="00817793" w:rsidRDefault="002719FC">
      <w:pPr>
        <w:ind w:firstLine="720"/>
      </w:pPr>
      <w:r>
        <w:t>O CLASI é um instrumento específico para avaliação das manifestações cutâneas do LES, dividido em duas partes: atividade e dano. A parte de atividade avalia eritema, descamação/hiperqueratose, envolvimento mucoso, queda de cabelo aguda e alopecia não cicatricial. A parte de dano avalia despigmentação, cicatrização e alopecia cicatricial.</w:t>
      </w:r>
    </w:p>
    <w:p w14:paraId="644DF386" w14:textId="77777777" w:rsidR="00817793" w:rsidRDefault="002719FC">
      <w:r>
        <w:t>Este índice é útil para avaliar a resposta ao tratamento em pacientes com manifestações cutâneas predominantes, permitindo uma quantificação objetiva das lesões e sua evolução ao longo do tempo.</w:t>
      </w:r>
    </w:p>
    <w:p w14:paraId="1199A21F" w14:textId="77777777" w:rsidR="00817793" w:rsidRPr="00115FE0" w:rsidRDefault="002719FC">
      <w:pPr>
        <w:numPr>
          <w:ilvl w:val="0"/>
          <w:numId w:val="15"/>
        </w:numPr>
        <w:rPr>
          <w:lang w:val="de-DE"/>
        </w:rPr>
      </w:pPr>
      <w:r w:rsidRPr="00115FE0">
        <w:rPr>
          <w:lang w:val="de-DE"/>
        </w:rPr>
        <w:t xml:space="preserve">SLICC/ACR </w:t>
      </w:r>
      <w:r w:rsidRPr="000976E4">
        <w:rPr>
          <w:i/>
          <w:iCs/>
          <w:lang w:val="de-DE"/>
        </w:rPr>
        <w:t>Damage Index</w:t>
      </w:r>
      <w:r w:rsidRPr="00115FE0">
        <w:rPr>
          <w:lang w:val="de-DE"/>
        </w:rPr>
        <w:t xml:space="preserve"> (SDI)</w:t>
      </w:r>
    </w:p>
    <w:p w14:paraId="1B1EBFFE" w14:textId="77777777" w:rsidR="00817793" w:rsidRDefault="002719FC">
      <w:pPr>
        <w:ind w:firstLine="720"/>
      </w:pPr>
      <w:r>
        <w:t>Embora não seja um índice de atividade, o SDI é importante para o monitoramento do LES, pois avalia o dano acumulado irreversível desde o início da doença. Ele inclui 12 domínios: ocular, neuropsiquiátrico, renal, pulmonar, cardiovascular, vascular periférico, gastrointestinal, musculoesquelético, cutâneo, gonadal, diabetes e malignidade.</w:t>
      </w:r>
    </w:p>
    <w:p w14:paraId="6E1831B3" w14:textId="6434FAD3" w:rsidR="00817793" w:rsidRDefault="002719FC" w:rsidP="00B56524">
      <w:pPr>
        <w:ind w:firstLine="720"/>
      </w:pPr>
      <w:r>
        <w:t>O dano é definido como alteração irreversível, não relacionada à atividade inflamatória, presente por pelo menos 6 meses. Cada item recebe 1 ponto, com alguns itens específicos recebendo 2 ou 3 pontos, e o escore total varia de 0 a 47. O SDI tem valor prognóstico significativo, com maior pontuação associada a maior mortalidade (PCDT, 2022).</w:t>
      </w:r>
    </w:p>
    <w:p w14:paraId="5C68A2B4" w14:textId="77777777" w:rsidR="00924AC8" w:rsidRDefault="00924AC8" w:rsidP="00B56524">
      <w:pPr>
        <w:ind w:firstLine="720"/>
      </w:pPr>
    </w:p>
    <w:p w14:paraId="36ABCAD6" w14:textId="77777777" w:rsidR="00817793" w:rsidRDefault="002719FC">
      <w:pPr>
        <w:pStyle w:val="Ttulo2"/>
      </w:pPr>
      <w:bookmarkStart w:id="7" w:name="_3dy6vkm" w:colFirst="0" w:colLast="0"/>
      <w:bookmarkEnd w:id="7"/>
      <w:r>
        <w:t>3.2. Tratamento recomendado</w:t>
      </w:r>
    </w:p>
    <w:p w14:paraId="21F54D6A" w14:textId="77777777" w:rsidR="00817793" w:rsidRDefault="002719FC">
      <w:pPr>
        <w:spacing w:after="120"/>
        <w:ind w:firstLine="720"/>
      </w:pPr>
      <w:r>
        <w:t>O tratamento do Lúpus Eritematoso Sistêmico (LES) tem como principais objetivos controlar as manifestações clínicas e laboratoriais, reduzir a atividade da doença, prevenir recidivas, evitar danos ao longo da evolução, diminuir a dose cumulativa de corticoide e melhorar a qualidade de vida dos pacientes (PCDT, 2022).</w:t>
      </w:r>
    </w:p>
    <w:p w14:paraId="140D0F55" w14:textId="77777777" w:rsidR="00817793" w:rsidRDefault="002719FC">
      <w:pPr>
        <w:spacing w:after="120"/>
        <w:ind w:firstLine="720"/>
      </w:pPr>
      <w:r>
        <w:lastRenderedPageBreak/>
        <w:t xml:space="preserve">A abordagem terapêutica é multidisciplinar e envolve tanto medidas não medicamentosas quanto farmacológicas. Entre as medidas não medicamentosas, o exercício físico aeróbico demonstrou ser eficaz na redução da fadiga causada pela doença (PCDT, 2022). Recomenda-se também orientação dietética para prevenção e controle de osteoporose, dislipidemia, obesidade e hipertensão arterial sistêmica, com preferência para dietas balanceadas, com baixo teor de sal, carboidratos e lipídios, especialmente em usuários crônicos de glicocorticoide. A suplementação de vitamina D é indicada para todos os pacientes, objetivando manter níveis séricos maiores que 30 </w:t>
      </w:r>
      <w:proofErr w:type="spellStart"/>
      <w:r>
        <w:t>ng</w:t>
      </w:r>
      <w:proofErr w:type="spellEnd"/>
      <w:r>
        <w:t>/</w:t>
      </w:r>
      <w:proofErr w:type="spellStart"/>
      <w:r>
        <w:t>mL</w:t>
      </w:r>
      <w:proofErr w:type="spellEnd"/>
      <w:r>
        <w:t xml:space="preserve"> (PCDT, 2022).</w:t>
      </w:r>
    </w:p>
    <w:p w14:paraId="154FA66F" w14:textId="77777777" w:rsidR="00817793" w:rsidRDefault="002719FC">
      <w:pPr>
        <w:spacing w:after="120"/>
        <w:ind w:firstLine="720"/>
      </w:pPr>
      <w:r>
        <w:t>Quanto ao tratamento medicamentoso, os antimaláricos são indicados para todos os pacientes com LES, exceto em situações de hipersensibilidade ou complicações relacionadas a estes medicamentos. Estudos demonstram que os antimaláricos são eficazes no controle de manifestações leves, diminuição de exacerbações, melhora da sobrevida, limitação da cronicidade e redução da dose de glicocorticoides (PCDT, 2022; Pons-</w:t>
      </w:r>
      <w:proofErr w:type="spellStart"/>
      <w:r>
        <w:t>Estel</w:t>
      </w:r>
      <w:proofErr w:type="spellEnd"/>
      <w:r>
        <w:t xml:space="preserve"> et al., 2018). A hidroxicloroquina (5 mg/kg/dia) é preferível à cloroquina (2-3 mg/kg/dia) devido ao menor risco de maculopatia (PCDT, 2022).</w:t>
      </w:r>
    </w:p>
    <w:p w14:paraId="350AB3DA" w14:textId="77777777" w:rsidR="00817793" w:rsidRDefault="002719FC">
      <w:pPr>
        <w:spacing w:after="120"/>
        <w:ind w:firstLine="720"/>
      </w:pPr>
      <w:r>
        <w:t xml:space="preserve">Os glicocorticoides são os medicamentos mais utilizados no tratamento do LES, com doses variáveis conforme a gravidade de cada caso. As doses podem ser classificadas como baixa (menos de 7,5 mg/dia de prednisona), moderada (7,5 a 30 mg/dia), alta (30 a 100 mg/dia) ou muito alta (mais de 100 mg/dia). Em casos graves, pode-se utilizar </w:t>
      </w:r>
      <w:proofErr w:type="spellStart"/>
      <w:r>
        <w:t>pulsoterapia</w:t>
      </w:r>
      <w:proofErr w:type="spellEnd"/>
      <w:r>
        <w:t xml:space="preserve"> com </w:t>
      </w:r>
      <w:proofErr w:type="spellStart"/>
      <w:r>
        <w:t>metilprednisolona</w:t>
      </w:r>
      <w:proofErr w:type="spellEnd"/>
      <w:r>
        <w:t xml:space="preserve"> (125 a 1.000 mg/dia IV por 3 dias consecutivos). Devido aos inúmeros eventos adversos, recomenda-se utilizar a menor dose efetiva para o controle da atividade da doença (PCDT, 2022; Pons-</w:t>
      </w:r>
      <w:proofErr w:type="spellStart"/>
      <w:r>
        <w:t>Estel</w:t>
      </w:r>
      <w:proofErr w:type="spellEnd"/>
      <w:r>
        <w:t xml:space="preserve"> et al., 2018).</w:t>
      </w:r>
    </w:p>
    <w:p w14:paraId="2AB7FB46" w14:textId="77777777" w:rsidR="00817793" w:rsidRDefault="002719FC">
      <w:pPr>
        <w:spacing w:after="120"/>
        <w:ind w:firstLine="720"/>
      </w:pPr>
      <w:r>
        <w:t xml:space="preserve">Para pacientes que não conseguem reduzir a dose de prednisona para menos de 7,5 mg/dia mesmo em uso de antimaláricos, há indicação de associação de imunossupressores como </w:t>
      </w:r>
      <w:proofErr w:type="spellStart"/>
      <w:r>
        <w:t>azatioprina</w:t>
      </w:r>
      <w:proofErr w:type="spellEnd"/>
      <w:r>
        <w:t xml:space="preserve"> ou metotrexato. A </w:t>
      </w:r>
      <w:proofErr w:type="spellStart"/>
      <w:r>
        <w:t>azatioprina</w:t>
      </w:r>
      <w:proofErr w:type="spellEnd"/>
      <w:r>
        <w:t xml:space="preserve"> (0,5 a 3 mg/kg/dia) é indicada para casos refratários ou </w:t>
      </w:r>
      <w:proofErr w:type="spellStart"/>
      <w:r>
        <w:t>corticodependentes</w:t>
      </w:r>
      <w:proofErr w:type="spellEnd"/>
      <w:r>
        <w:t>, manifestações cutâneas, articulares e hematológicas. O metotrexato (10 a 25 mg/semana) é eficaz em manifestações cutâneas e articulares refratárias, conforme demonstrado em ensaio clínico brasileiro que evidenciou melhores resultados clínicos com o uso deste medicamento (PCDT, 2022; Pons-</w:t>
      </w:r>
      <w:proofErr w:type="spellStart"/>
      <w:r>
        <w:t>Estel</w:t>
      </w:r>
      <w:proofErr w:type="spellEnd"/>
      <w:r>
        <w:t xml:space="preserve"> et al., 2018).</w:t>
      </w:r>
    </w:p>
    <w:p w14:paraId="20ACE06C" w14:textId="5A2A96E2" w:rsidR="00817793" w:rsidRDefault="002719FC">
      <w:pPr>
        <w:spacing w:after="120"/>
        <w:ind w:firstLine="720"/>
      </w:pPr>
      <w:r>
        <w:t xml:space="preserve">A ciclofosfamida é indicada principalmente para nefrite </w:t>
      </w:r>
      <w:proofErr w:type="spellStart"/>
      <w:r>
        <w:t>lúpica</w:t>
      </w:r>
      <w:proofErr w:type="spellEnd"/>
      <w:r>
        <w:t xml:space="preserve"> proliferativa e manifestações neuropsiquiátricas graves. Pode ser administrada por via oral (1-3 mg/kg/dia) ou intravenosa (0,5-1,0 </w:t>
      </w:r>
      <w:r>
        <w:lastRenderedPageBreak/>
        <w:t xml:space="preserve">g/m² a cada 4 semanas). Há evidência de superioridade da ciclofosfamida em relação à </w:t>
      </w:r>
      <w:proofErr w:type="spellStart"/>
      <w:r>
        <w:t>metilprednisolona</w:t>
      </w:r>
      <w:proofErr w:type="spellEnd"/>
      <w:r>
        <w:t xml:space="preserve"> em pacientes com acometimento neuropsiquiátrico (PCDT, 2022; Pons-</w:t>
      </w:r>
      <w:proofErr w:type="spellStart"/>
      <w:r>
        <w:t>Estel</w:t>
      </w:r>
      <w:proofErr w:type="spellEnd"/>
      <w:r>
        <w:t xml:space="preserve"> et al., 2018).</w:t>
      </w:r>
    </w:p>
    <w:p w14:paraId="5A00F9CD" w14:textId="77777777" w:rsidR="00817793" w:rsidRDefault="002719FC">
      <w:pPr>
        <w:spacing w:after="120"/>
        <w:ind w:firstLine="720"/>
      </w:pPr>
      <w:r>
        <w:t xml:space="preserve">O </w:t>
      </w:r>
      <w:proofErr w:type="spellStart"/>
      <w:r>
        <w:t>micofenolato</w:t>
      </w:r>
      <w:proofErr w:type="spellEnd"/>
      <w:r>
        <w:t xml:space="preserve"> de </w:t>
      </w:r>
      <w:proofErr w:type="spellStart"/>
      <w:r>
        <w:t>mofetila</w:t>
      </w:r>
      <w:proofErr w:type="spellEnd"/>
      <w:r>
        <w:t xml:space="preserve"> foi incorporado ao SUS em 2022 para tratamento de nefrite </w:t>
      </w:r>
      <w:proofErr w:type="spellStart"/>
      <w:r>
        <w:t>lúpica</w:t>
      </w:r>
      <w:proofErr w:type="spellEnd"/>
      <w:r>
        <w:t xml:space="preserve"> classes III a V, sendo utilizado na fase de indução (2 a 3 g/dia) e de manutenção (1 a 2 g/dia). O </w:t>
      </w:r>
      <w:proofErr w:type="spellStart"/>
      <w:r>
        <w:t>micofenolato</w:t>
      </w:r>
      <w:proofErr w:type="spellEnd"/>
      <w:r>
        <w:t xml:space="preserve"> de </w:t>
      </w:r>
      <w:proofErr w:type="spellStart"/>
      <w:r>
        <w:t>mofetila</w:t>
      </w:r>
      <w:proofErr w:type="spellEnd"/>
      <w:r>
        <w:t xml:space="preserve"> é tão efetivo quanto a ciclofosfamida para induzir remissão da nefrite </w:t>
      </w:r>
      <w:proofErr w:type="spellStart"/>
      <w:r>
        <w:t>lúpica</w:t>
      </w:r>
      <w:proofErr w:type="spellEnd"/>
      <w:r>
        <w:t xml:space="preserve"> com menos eventos adversos (PCDT, 2022; Pons-</w:t>
      </w:r>
      <w:proofErr w:type="spellStart"/>
      <w:r>
        <w:t>Estel</w:t>
      </w:r>
      <w:proofErr w:type="spellEnd"/>
      <w:r>
        <w:t xml:space="preserve"> et al., 2018).</w:t>
      </w:r>
    </w:p>
    <w:p w14:paraId="755EFC38" w14:textId="77777777" w:rsidR="00817793" w:rsidRDefault="002719FC">
      <w:pPr>
        <w:spacing w:after="120"/>
        <w:ind w:firstLine="720"/>
      </w:pPr>
      <w:r>
        <w:t xml:space="preserve">Para manifestações cutâneas refratárias, além do metotrexato e da </w:t>
      </w:r>
      <w:proofErr w:type="spellStart"/>
      <w:r>
        <w:t>azatioprina</w:t>
      </w:r>
      <w:proofErr w:type="spellEnd"/>
      <w:r>
        <w:t xml:space="preserve">, pode-se utilizar talidomida (25-100 mg/dia). O </w:t>
      </w:r>
      <w:proofErr w:type="spellStart"/>
      <w:r>
        <w:t>danazol</w:t>
      </w:r>
      <w:proofErr w:type="spellEnd"/>
      <w:r>
        <w:t xml:space="preserve"> é uma opção para plaquetopenia refratária ao uso de glicocorticoide, iniciando com 100 mg 2x/dia e aumentando até 400 mg 2x/dia (PCDT, 2022).</w:t>
      </w:r>
    </w:p>
    <w:p w14:paraId="1ECA90C6" w14:textId="77777777" w:rsidR="00817793" w:rsidRDefault="002719FC">
      <w:pPr>
        <w:spacing w:after="120"/>
        <w:ind w:firstLine="720"/>
      </w:pPr>
      <w:r>
        <w:t xml:space="preserve">No tratamento da nefrite </w:t>
      </w:r>
      <w:proofErr w:type="spellStart"/>
      <w:r>
        <w:t>lúpica</w:t>
      </w:r>
      <w:proofErr w:type="spellEnd"/>
      <w:r>
        <w:t xml:space="preserve">, além dos imunossupressores, recomenda-se o uso de medicamentos </w:t>
      </w:r>
      <w:proofErr w:type="spellStart"/>
      <w:r>
        <w:t>renoprotetores</w:t>
      </w:r>
      <w:proofErr w:type="spellEnd"/>
      <w:r>
        <w:t xml:space="preserve"> como inibidores da enzima conversora de angiotensina ou bloqueadores de receptores da angiotensina. A ciclosporina (até 5 mg/kg/dia) pode ser uma opção para nefrite membranosa e manifestações hematológicas refratárias (PCDT, 2022).</w:t>
      </w:r>
    </w:p>
    <w:p w14:paraId="1E1F9D1F" w14:textId="77777777" w:rsidR="00817793" w:rsidRDefault="002719FC">
      <w:pPr>
        <w:spacing w:after="120"/>
        <w:ind w:firstLine="720"/>
      </w:pPr>
      <w:r>
        <w:t>Não há um período estabelecido para a duração do tratamento. Após remissão clínica, as doses dos medicamentos podem ser diminuídas gradualmente sob monitorização da atividade da doença, iniciando-se pela redução da prednisona. A hidroxicloroquina deve ser utilizada continuamente ao longo do tempo (PCDT, 2022).</w:t>
      </w:r>
    </w:p>
    <w:p w14:paraId="29A3910B" w14:textId="77777777" w:rsidR="00817793" w:rsidRDefault="002719FC">
      <w:pPr>
        <w:spacing w:after="120"/>
        <w:ind w:firstLine="720"/>
      </w:pPr>
      <w:r>
        <w:t xml:space="preserve">O monitoramento deve ser regular, com frequência determinada pela atividade e gravidade da doença. Recomenda-se o uso do SLEDAI para avaliar periodicamente a atividade da doença e exames laboratoriais como hemograma, complementos, </w:t>
      </w:r>
      <w:proofErr w:type="spellStart"/>
      <w:r>
        <w:t>anti-DNA</w:t>
      </w:r>
      <w:proofErr w:type="spellEnd"/>
      <w:r>
        <w:t xml:space="preserve"> nativo, creatinina, transaminases, exame de urina, VHS e proteína C reativa. Cada medicamento requer monitoramento específico para toxicidade, como avaliação oftalmológica anual para pacientes em uso de antimaláricos (PCDT, 2022).</w:t>
      </w:r>
    </w:p>
    <w:p w14:paraId="54E11D2A" w14:textId="77777777" w:rsidR="00817793" w:rsidRDefault="00817793">
      <w:pPr>
        <w:spacing w:before="0" w:after="160" w:line="259" w:lineRule="auto"/>
        <w:jc w:val="left"/>
      </w:pPr>
    </w:p>
    <w:p w14:paraId="10E7DC58" w14:textId="77777777" w:rsidR="00924AC8" w:rsidRDefault="00924AC8">
      <w:pPr>
        <w:spacing w:before="0" w:after="160" w:line="259" w:lineRule="auto"/>
        <w:jc w:val="left"/>
      </w:pPr>
      <w:bookmarkStart w:id="8" w:name="_1t3h5sf" w:colFirst="0" w:colLast="0"/>
      <w:bookmarkEnd w:id="8"/>
    </w:p>
    <w:p w14:paraId="7A6C6927" w14:textId="77777777" w:rsidR="00817793" w:rsidRDefault="002719FC">
      <w:pPr>
        <w:pStyle w:val="Ttulo1"/>
      </w:pPr>
      <w:r>
        <w:lastRenderedPageBreak/>
        <w:t>4. TECNOLOGIA</w:t>
      </w:r>
    </w:p>
    <w:p w14:paraId="75BCE7C1" w14:textId="77777777" w:rsidR="00817793" w:rsidRDefault="002719FC">
      <w:pPr>
        <w:pStyle w:val="Ttulo2"/>
      </w:pPr>
      <w:bookmarkStart w:id="9" w:name="_4d34og8" w:colFirst="0" w:colLast="0"/>
      <w:bookmarkEnd w:id="9"/>
      <w:r>
        <w:t>4.1. Descrição</w:t>
      </w:r>
    </w:p>
    <w:p w14:paraId="0822042F" w14:textId="2EEB3066" w:rsidR="00817793" w:rsidRDefault="002719FC">
      <w:pPr>
        <w:ind w:firstLine="720"/>
      </w:pPr>
      <w:proofErr w:type="spellStart"/>
      <w:r>
        <w:t>Anifrolumabe</w:t>
      </w:r>
      <w:proofErr w:type="spellEnd"/>
      <w:r>
        <w:t xml:space="preserve"> é indicado para o tratamento de pacientes adultos com LES moderado a grave, positivo para autoanticorpos, em adição à terapia padrão (</w:t>
      </w:r>
      <w:proofErr w:type="spellStart"/>
      <w:r>
        <w:t>Koelmeyer</w:t>
      </w:r>
      <w:proofErr w:type="spellEnd"/>
      <w:r>
        <w:t xml:space="preserve"> et al., 2020). É um anticorpo monoclonal humano G1κ que se liga ao receptor alfa do interferon tipo 1 (IFNAR1), induzindo a internalização do IFNAR1 (reduzindo os níveis na superfície celular) e bloqueando a atividade dos interferons tipo 1 (EMA, 2022; Riggs et al., 2018). Os interferons tipo 1 desempenham um papel central na patogênese do LES. Ao bloquear o sinal do IFN tipo 1, o </w:t>
      </w:r>
      <w:proofErr w:type="spellStart"/>
      <w:r>
        <w:t>anifrolumabe</w:t>
      </w:r>
      <w:proofErr w:type="spellEnd"/>
      <w:r>
        <w:t xml:space="preserve"> inibe a expressão dos genes responsivos ao IFN e os processos inflamatórios e imunológicos subsequentes, revertendo assim parte da desregulação imunológica que ocorre no LES (Riggs et al., 2018; </w:t>
      </w:r>
      <w:proofErr w:type="spellStart"/>
      <w:r>
        <w:t>Furie</w:t>
      </w:r>
      <w:proofErr w:type="spellEnd"/>
      <w:r>
        <w:t xml:space="preserve"> et al., 2017; </w:t>
      </w:r>
      <w:proofErr w:type="spellStart"/>
      <w:r>
        <w:t>Lichtman</w:t>
      </w:r>
      <w:proofErr w:type="spellEnd"/>
      <w:r>
        <w:t xml:space="preserve"> et al., 2012).</w:t>
      </w:r>
    </w:p>
    <w:p w14:paraId="3C51870F" w14:textId="77777777" w:rsidR="00817793" w:rsidRDefault="002719FC">
      <w:pPr>
        <w:ind w:firstLine="720"/>
        <w:rPr>
          <w:i/>
          <w:color w:val="FF0000"/>
        </w:rPr>
      </w:pPr>
      <w:r>
        <w:t xml:space="preserve">O </w:t>
      </w:r>
      <w:proofErr w:type="spellStart"/>
      <w:r>
        <w:t>anifrolumabe</w:t>
      </w:r>
      <w:proofErr w:type="spellEnd"/>
      <w:r>
        <w:t xml:space="preserve"> inibe o interferon tipo 1 (IFN) e, consequentemente, bloqueia a diferenciação dos plasmócitos e normaliza os subconjuntos de células T periféricas, restaurando o equilíbrio entre a imunidade adaptativa e inata, que está desregulado no LES e em outros distúrbios autoimunes (EMA, 2022).</w:t>
      </w:r>
    </w:p>
    <w:p w14:paraId="7300E9EE" w14:textId="77777777" w:rsidR="00817793" w:rsidRDefault="002719FC">
      <w:r>
        <w:tab/>
        <w:t xml:space="preserve">A presente proposta de inclusão do </w:t>
      </w:r>
      <w:proofErr w:type="spellStart"/>
      <w:r>
        <w:t>anifrolumabe</w:t>
      </w:r>
      <w:proofErr w:type="spellEnd"/>
      <w:r>
        <w:t xml:space="preserve"> refere-se à adição desse medicamento à terapia atualmente disponível quando os pacientes falharam ou não toleram o tratamento, conforme apresentado no fluxograma apresentado pelo demandante.</w:t>
      </w:r>
    </w:p>
    <w:p w14:paraId="31126E5D" w14:textId="77777777" w:rsidR="00817793" w:rsidRDefault="002719FC">
      <w:r>
        <w:rPr>
          <w:noProof/>
        </w:rPr>
        <w:lastRenderedPageBreak/>
        <w:drawing>
          <wp:inline distT="114300" distB="114300" distL="114300" distR="114300" wp14:anchorId="3BE42EB8" wp14:editId="07777777">
            <wp:extent cx="5759140" cy="3771900"/>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
                    <a:srcRect/>
                    <a:stretch>
                      <a:fillRect/>
                    </a:stretch>
                  </pic:blipFill>
                  <pic:spPr>
                    <a:xfrm>
                      <a:off x="0" y="0"/>
                      <a:ext cx="5759140" cy="3771900"/>
                    </a:xfrm>
                    <a:prstGeom prst="rect">
                      <a:avLst/>
                    </a:prstGeom>
                    <a:ln/>
                  </pic:spPr>
                </pic:pic>
              </a:graphicData>
            </a:graphic>
          </wp:inline>
        </w:drawing>
      </w:r>
    </w:p>
    <w:p w14:paraId="454333DC" w14:textId="77777777" w:rsidR="00924AC8" w:rsidRDefault="00924AC8"/>
    <w:p w14:paraId="2DE403A5" w14:textId="27277919" w:rsidR="00817793" w:rsidRDefault="002719FC" w:rsidP="00B56524">
      <w:pPr>
        <w:pStyle w:val="Ttulo2"/>
      </w:pPr>
      <w:r>
        <w:t>4.2. Ficha técnica</w:t>
      </w:r>
    </w:p>
    <w:p w14:paraId="131188BD" w14:textId="77777777" w:rsidR="00817793" w:rsidRDefault="002719FC">
      <w:pPr>
        <w:pStyle w:val="Ttulo4"/>
      </w:pPr>
      <w:r>
        <w:rPr>
          <w:b/>
        </w:rPr>
        <w:t>Quadro 3.</w:t>
      </w:r>
      <w:r>
        <w:t xml:space="preserve"> Ficha técnica da tecnologia</w:t>
      </w:r>
    </w:p>
    <w:tbl>
      <w:tblPr>
        <w:tblStyle w:val="a1"/>
        <w:tblW w:w="8952"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660"/>
        <w:gridCol w:w="1811"/>
        <w:gridCol w:w="6481"/>
      </w:tblGrid>
      <w:tr w:rsidR="00817793" w14:paraId="7EBEA69A" w14:textId="77777777">
        <w:tc>
          <w:tcPr>
            <w:tcW w:w="660" w:type="dxa"/>
            <w:vAlign w:val="center"/>
          </w:tcPr>
          <w:p w14:paraId="0D4B9173" w14:textId="77777777" w:rsidR="00817793" w:rsidRDefault="00817793">
            <w:pPr>
              <w:spacing w:before="120" w:after="120"/>
              <w:jc w:val="center"/>
            </w:pPr>
          </w:p>
        </w:tc>
        <w:tc>
          <w:tcPr>
            <w:tcW w:w="1811" w:type="dxa"/>
            <w:vAlign w:val="center"/>
          </w:tcPr>
          <w:p w14:paraId="769726BA" w14:textId="77777777" w:rsidR="00817793" w:rsidRDefault="002719FC">
            <w:pPr>
              <w:spacing w:before="120" w:after="120"/>
              <w:jc w:val="center"/>
              <w:rPr>
                <w:b/>
              </w:rPr>
            </w:pPr>
            <w:r>
              <w:rPr>
                <w:b/>
              </w:rPr>
              <w:t>Item</w:t>
            </w:r>
          </w:p>
        </w:tc>
        <w:tc>
          <w:tcPr>
            <w:tcW w:w="6481" w:type="dxa"/>
            <w:vAlign w:val="center"/>
          </w:tcPr>
          <w:p w14:paraId="212251CE" w14:textId="77777777" w:rsidR="00817793" w:rsidRDefault="002719FC">
            <w:pPr>
              <w:spacing w:before="120" w:after="120"/>
              <w:jc w:val="center"/>
              <w:rPr>
                <w:b/>
              </w:rPr>
            </w:pPr>
            <w:r>
              <w:rPr>
                <w:b/>
              </w:rPr>
              <w:t>Descrição</w:t>
            </w:r>
          </w:p>
        </w:tc>
      </w:tr>
      <w:tr w:rsidR="00817793" w14:paraId="407EECC2" w14:textId="77777777">
        <w:tc>
          <w:tcPr>
            <w:tcW w:w="660" w:type="dxa"/>
            <w:vAlign w:val="center"/>
          </w:tcPr>
          <w:p w14:paraId="649841BE" w14:textId="77777777" w:rsidR="00817793" w:rsidRDefault="002719FC">
            <w:pPr>
              <w:spacing w:before="120" w:after="120"/>
              <w:jc w:val="center"/>
            </w:pPr>
            <w:r>
              <w:t>1</w:t>
            </w:r>
          </w:p>
        </w:tc>
        <w:tc>
          <w:tcPr>
            <w:tcW w:w="1811" w:type="dxa"/>
            <w:vAlign w:val="center"/>
          </w:tcPr>
          <w:p w14:paraId="7444BE67" w14:textId="77777777" w:rsidR="00817793" w:rsidRDefault="002719FC">
            <w:pPr>
              <w:spacing w:before="120" w:after="120"/>
              <w:jc w:val="center"/>
            </w:pPr>
            <w:r>
              <w:rPr>
                <w:b/>
              </w:rPr>
              <w:t>Tipo</w:t>
            </w:r>
          </w:p>
        </w:tc>
        <w:tc>
          <w:tcPr>
            <w:tcW w:w="6481" w:type="dxa"/>
            <w:vAlign w:val="center"/>
          </w:tcPr>
          <w:p w14:paraId="059A3FFC" w14:textId="77777777" w:rsidR="00817793" w:rsidRDefault="002719FC">
            <w:pPr>
              <w:spacing w:before="120" w:after="120"/>
              <w:jc w:val="center"/>
            </w:pPr>
            <w:r>
              <w:t>Medicamento</w:t>
            </w:r>
          </w:p>
        </w:tc>
      </w:tr>
      <w:tr w:rsidR="00817793" w14:paraId="12A99229" w14:textId="77777777">
        <w:tc>
          <w:tcPr>
            <w:tcW w:w="660" w:type="dxa"/>
            <w:vAlign w:val="center"/>
          </w:tcPr>
          <w:p w14:paraId="18F999B5" w14:textId="77777777" w:rsidR="00817793" w:rsidRDefault="002719FC">
            <w:pPr>
              <w:spacing w:before="120" w:after="120"/>
              <w:jc w:val="center"/>
            </w:pPr>
            <w:r>
              <w:t>2</w:t>
            </w:r>
          </w:p>
        </w:tc>
        <w:tc>
          <w:tcPr>
            <w:tcW w:w="1811" w:type="dxa"/>
            <w:vAlign w:val="center"/>
          </w:tcPr>
          <w:p w14:paraId="5A68C34A" w14:textId="77777777" w:rsidR="00817793" w:rsidRDefault="002719FC">
            <w:pPr>
              <w:spacing w:before="120" w:after="120"/>
              <w:jc w:val="center"/>
            </w:pPr>
            <w:bookmarkStart w:id="10" w:name="_17dp8vu" w:colFirst="0" w:colLast="0"/>
            <w:bookmarkEnd w:id="10"/>
            <w:r>
              <w:rPr>
                <w:b/>
              </w:rPr>
              <w:t>Princípio ativo</w:t>
            </w:r>
          </w:p>
        </w:tc>
        <w:tc>
          <w:tcPr>
            <w:tcW w:w="6481" w:type="dxa"/>
            <w:vAlign w:val="center"/>
          </w:tcPr>
          <w:p w14:paraId="2A148E40" w14:textId="77777777" w:rsidR="00817793" w:rsidRDefault="002719FC">
            <w:pPr>
              <w:spacing w:before="120" w:after="120"/>
              <w:jc w:val="center"/>
            </w:pPr>
            <w:proofErr w:type="spellStart"/>
            <w:r>
              <w:t>Anifrolumabe</w:t>
            </w:r>
            <w:proofErr w:type="spellEnd"/>
          </w:p>
        </w:tc>
      </w:tr>
      <w:tr w:rsidR="00817793" w14:paraId="71299F59" w14:textId="77777777">
        <w:tc>
          <w:tcPr>
            <w:tcW w:w="660" w:type="dxa"/>
            <w:vAlign w:val="center"/>
          </w:tcPr>
          <w:p w14:paraId="5FCD5EC4" w14:textId="77777777" w:rsidR="00817793" w:rsidRDefault="002719FC">
            <w:pPr>
              <w:spacing w:before="120" w:after="120"/>
              <w:jc w:val="center"/>
            </w:pPr>
            <w:r>
              <w:t>3</w:t>
            </w:r>
          </w:p>
        </w:tc>
        <w:tc>
          <w:tcPr>
            <w:tcW w:w="1811" w:type="dxa"/>
            <w:vAlign w:val="center"/>
          </w:tcPr>
          <w:p w14:paraId="1E79643F" w14:textId="77777777" w:rsidR="00817793" w:rsidRDefault="002719FC">
            <w:pPr>
              <w:spacing w:before="120" w:after="120"/>
              <w:jc w:val="center"/>
            </w:pPr>
            <w:bookmarkStart w:id="11" w:name="_3rdcrjn" w:colFirst="0" w:colLast="0"/>
            <w:bookmarkEnd w:id="11"/>
            <w:r>
              <w:rPr>
                <w:b/>
              </w:rPr>
              <w:t>Nome comercial</w:t>
            </w:r>
          </w:p>
        </w:tc>
        <w:tc>
          <w:tcPr>
            <w:tcW w:w="6481" w:type="dxa"/>
            <w:vAlign w:val="center"/>
          </w:tcPr>
          <w:p w14:paraId="7F7E2AE6" w14:textId="77777777" w:rsidR="00817793" w:rsidRDefault="002719FC">
            <w:pPr>
              <w:spacing w:before="120" w:after="120"/>
              <w:jc w:val="center"/>
            </w:pPr>
            <w:proofErr w:type="spellStart"/>
            <w:r>
              <w:t>Saphnelo</w:t>
            </w:r>
            <w:proofErr w:type="spellEnd"/>
            <w:r>
              <w:t>®</w:t>
            </w:r>
          </w:p>
        </w:tc>
      </w:tr>
      <w:tr w:rsidR="00817793" w14:paraId="2DF2F6F1" w14:textId="77777777">
        <w:tc>
          <w:tcPr>
            <w:tcW w:w="660" w:type="dxa"/>
            <w:vAlign w:val="center"/>
          </w:tcPr>
          <w:p w14:paraId="2598DEE6" w14:textId="77777777" w:rsidR="00817793" w:rsidRDefault="002719FC">
            <w:pPr>
              <w:spacing w:before="120" w:after="120"/>
              <w:jc w:val="center"/>
            </w:pPr>
            <w:r>
              <w:t>4</w:t>
            </w:r>
          </w:p>
        </w:tc>
        <w:tc>
          <w:tcPr>
            <w:tcW w:w="1811" w:type="dxa"/>
            <w:vAlign w:val="center"/>
          </w:tcPr>
          <w:p w14:paraId="66AF8156" w14:textId="77777777" w:rsidR="00817793" w:rsidRDefault="002719FC">
            <w:pPr>
              <w:spacing w:before="120" w:after="120"/>
              <w:jc w:val="center"/>
            </w:pPr>
            <w:r>
              <w:rPr>
                <w:b/>
              </w:rPr>
              <w:t>Fabricante</w:t>
            </w:r>
          </w:p>
        </w:tc>
        <w:tc>
          <w:tcPr>
            <w:tcW w:w="6481" w:type="dxa"/>
            <w:vAlign w:val="center"/>
          </w:tcPr>
          <w:p w14:paraId="2792E17C" w14:textId="77777777" w:rsidR="00817793" w:rsidRDefault="002719FC">
            <w:pPr>
              <w:spacing w:before="120" w:after="120"/>
              <w:jc w:val="center"/>
            </w:pPr>
            <w:r>
              <w:t xml:space="preserve">AstraZeneca </w:t>
            </w:r>
            <w:proofErr w:type="spellStart"/>
            <w:r>
              <w:t>Pharmaceuticals</w:t>
            </w:r>
            <w:proofErr w:type="spellEnd"/>
            <w:r>
              <w:t xml:space="preserve"> LP – Estados Unidos</w:t>
            </w:r>
          </w:p>
          <w:p w14:paraId="057FCD1A" w14:textId="77777777" w:rsidR="00817793" w:rsidRDefault="002719FC">
            <w:pPr>
              <w:spacing w:before="120" w:after="120"/>
              <w:jc w:val="center"/>
            </w:pPr>
            <w:r>
              <w:t>AstraZeneca Nijmegen B.V. – Holanda</w:t>
            </w:r>
          </w:p>
          <w:p w14:paraId="276D8423" w14:textId="77777777" w:rsidR="00817793" w:rsidRDefault="002719FC">
            <w:pPr>
              <w:spacing w:before="120" w:after="120"/>
              <w:jc w:val="center"/>
            </w:pPr>
            <w:r>
              <w:t>AstraZeneca AB – Suécia</w:t>
            </w:r>
          </w:p>
        </w:tc>
      </w:tr>
      <w:tr w:rsidR="00817793" w14:paraId="1E3049BB" w14:textId="77777777">
        <w:tc>
          <w:tcPr>
            <w:tcW w:w="660" w:type="dxa"/>
            <w:vAlign w:val="center"/>
          </w:tcPr>
          <w:p w14:paraId="78941E47" w14:textId="77777777" w:rsidR="00817793" w:rsidRDefault="002719FC">
            <w:pPr>
              <w:spacing w:before="120" w:after="120"/>
              <w:jc w:val="center"/>
            </w:pPr>
            <w:r>
              <w:t>5</w:t>
            </w:r>
          </w:p>
        </w:tc>
        <w:tc>
          <w:tcPr>
            <w:tcW w:w="1811" w:type="dxa"/>
            <w:vAlign w:val="center"/>
          </w:tcPr>
          <w:p w14:paraId="2C5FB512" w14:textId="77777777" w:rsidR="00817793" w:rsidRDefault="002719FC">
            <w:pPr>
              <w:spacing w:before="120" w:after="120"/>
              <w:jc w:val="center"/>
            </w:pPr>
            <w:r>
              <w:rPr>
                <w:b/>
              </w:rPr>
              <w:t>Detentor do registro</w:t>
            </w:r>
          </w:p>
        </w:tc>
        <w:tc>
          <w:tcPr>
            <w:tcW w:w="6481" w:type="dxa"/>
            <w:vAlign w:val="center"/>
          </w:tcPr>
          <w:p w14:paraId="5CD0A667" w14:textId="77777777" w:rsidR="00817793" w:rsidRDefault="002719FC">
            <w:pPr>
              <w:spacing w:before="120" w:after="120"/>
              <w:jc w:val="center"/>
            </w:pPr>
            <w:r>
              <w:t>AstraZeneca do Brasil LTDA</w:t>
            </w:r>
          </w:p>
        </w:tc>
      </w:tr>
      <w:tr w:rsidR="00817793" w14:paraId="4EA72EF0" w14:textId="77777777">
        <w:tc>
          <w:tcPr>
            <w:tcW w:w="660" w:type="dxa"/>
            <w:vAlign w:val="center"/>
          </w:tcPr>
          <w:p w14:paraId="29B4EA11" w14:textId="77777777" w:rsidR="00817793" w:rsidRDefault="002719FC">
            <w:pPr>
              <w:spacing w:before="120" w:after="120"/>
              <w:jc w:val="center"/>
            </w:pPr>
            <w:r>
              <w:lastRenderedPageBreak/>
              <w:t>6</w:t>
            </w:r>
          </w:p>
        </w:tc>
        <w:tc>
          <w:tcPr>
            <w:tcW w:w="1811" w:type="dxa"/>
            <w:vAlign w:val="center"/>
          </w:tcPr>
          <w:p w14:paraId="440BA01D" w14:textId="77777777" w:rsidR="00817793" w:rsidRDefault="002719FC">
            <w:pPr>
              <w:spacing w:before="120" w:after="120"/>
              <w:jc w:val="center"/>
            </w:pPr>
            <w:r>
              <w:rPr>
                <w:b/>
              </w:rPr>
              <w:t>Apresentação</w:t>
            </w:r>
          </w:p>
        </w:tc>
        <w:tc>
          <w:tcPr>
            <w:tcW w:w="6481" w:type="dxa"/>
            <w:vAlign w:val="center"/>
          </w:tcPr>
          <w:p w14:paraId="635E5A41" w14:textId="77777777" w:rsidR="00817793" w:rsidRDefault="002719FC">
            <w:pPr>
              <w:spacing w:before="120" w:after="120"/>
            </w:pPr>
            <w:r>
              <w:t xml:space="preserve">Solução para diluição para infusão de 300 mg/2 </w:t>
            </w:r>
            <w:proofErr w:type="spellStart"/>
            <w:r>
              <w:t>mL</w:t>
            </w:r>
            <w:proofErr w:type="spellEnd"/>
            <w:r>
              <w:t xml:space="preserve"> (150 mg/</w:t>
            </w:r>
            <w:proofErr w:type="spellStart"/>
            <w:r>
              <w:t>mL</w:t>
            </w:r>
            <w:proofErr w:type="spellEnd"/>
            <w:r>
              <w:t xml:space="preserve">) em embalagem com 1 frasco-ampola contendo 2,0 </w:t>
            </w:r>
            <w:proofErr w:type="spellStart"/>
            <w:r>
              <w:t>mL</w:t>
            </w:r>
            <w:proofErr w:type="spellEnd"/>
            <w:r>
              <w:t xml:space="preserve"> da solução</w:t>
            </w:r>
          </w:p>
        </w:tc>
      </w:tr>
      <w:tr w:rsidR="00817793" w14:paraId="489A73F7" w14:textId="77777777">
        <w:tc>
          <w:tcPr>
            <w:tcW w:w="660" w:type="dxa"/>
            <w:vAlign w:val="center"/>
          </w:tcPr>
          <w:p w14:paraId="75697EEC" w14:textId="77777777" w:rsidR="00817793" w:rsidRDefault="002719FC">
            <w:pPr>
              <w:spacing w:before="120" w:after="120"/>
              <w:jc w:val="center"/>
            </w:pPr>
            <w:r>
              <w:t>7</w:t>
            </w:r>
          </w:p>
        </w:tc>
        <w:tc>
          <w:tcPr>
            <w:tcW w:w="1811" w:type="dxa"/>
            <w:vAlign w:val="center"/>
          </w:tcPr>
          <w:p w14:paraId="1A03A2A6" w14:textId="77777777" w:rsidR="00817793" w:rsidRDefault="002719FC">
            <w:pPr>
              <w:spacing w:before="120" w:after="120"/>
              <w:jc w:val="center"/>
            </w:pPr>
            <w:r>
              <w:rPr>
                <w:b/>
              </w:rPr>
              <w:t>Indicação aprovada na Anvisa</w:t>
            </w:r>
          </w:p>
        </w:tc>
        <w:tc>
          <w:tcPr>
            <w:tcW w:w="6481" w:type="dxa"/>
            <w:vAlign w:val="center"/>
          </w:tcPr>
          <w:p w14:paraId="13E46DC6" w14:textId="77777777" w:rsidR="00817793" w:rsidRDefault="002719FC">
            <w:pPr>
              <w:spacing w:before="120" w:after="120"/>
            </w:pPr>
            <w:r>
              <w:t>Tratamento de pacientes adultos com LES moderado a grave, positivo para autoanticorpos, em adição à terapia padrão.</w:t>
            </w:r>
          </w:p>
        </w:tc>
      </w:tr>
      <w:tr w:rsidR="00817793" w14:paraId="39D2464B" w14:textId="77777777">
        <w:trPr>
          <w:trHeight w:val="1687"/>
        </w:trPr>
        <w:tc>
          <w:tcPr>
            <w:tcW w:w="660" w:type="dxa"/>
            <w:vAlign w:val="center"/>
          </w:tcPr>
          <w:p w14:paraId="44B0A208" w14:textId="77777777" w:rsidR="00817793" w:rsidRDefault="002719FC">
            <w:pPr>
              <w:spacing w:before="120" w:after="120"/>
              <w:jc w:val="center"/>
            </w:pPr>
            <w:r>
              <w:t>8</w:t>
            </w:r>
          </w:p>
        </w:tc>
        <w:tc>
          <w:tcPr>
            <w:tcW w:w="1811" w:type="dxa"/>
            <w:vAlign w:val="center"/>
          </w:tcPr>
          <w:p w14:paraId="15AF9E83" w14:textId="77777777" w:rsidR="00817793" w:rsidRDefault="002719FC">
            <w:pPr>
              <w:spacing w:before="120" w:after="120"/>
              <w:jc w:val="center"/>
              <w:rPr>
                <w:b/>
              </w:rPr>
            </w:pPr>
            <w:r>
              <w:rPr>
                <w:b/>
              </w:rPr>
              <w:t>Indicação proposta pelo proponente</w:t>
            </w:r>
          </w:p>
        </w:tc>
        <w:tc>
          <w:tcPr>
            <w:tcW w:w="6481" w:type="dxa"/>
            <w:vAlign w:val="center"/>
          </w:tcPr>
          <w:p w14:paraId="3F320437" w14:textId="77777777" w:rsidR="00817793" w:rsidRDefault="002719FC">
            <w:pPr>
              <w:spacing w:before="120" w:after="120"/>
            </w:pPr>
            <w:r>
              <w:rPr>
                <w:u w:val="single"/>
              </w:rPr>
              <w:t>Para início do tratamento</w:t>
            </w:r>
            <w:r>
              <w:t>: Pacientes com lúpus eritematoso sistêmico positivo para autoanticorpos com 18 anos ou mais em uso de terapia tripla com hidroxicloroquina + corticosteroide (prednisona ≥7,5 mg/dia ou equivalente) + imunossupressor (</w:t>
            </w:r>
            <w:proofErr w:type="spellStart"/>
            <w:r>
              <w:t>azatioprina</w:t>
            </w:r>
            <w:proofErr w:type="spellEnd"/>
            <w:r>
              <w:t xml:space="preserve"> ou </w:t>
            </w:r>
            <w:proofErr w:type="spellStart"/>
            <w:r>
              <w:t>micofenolato</w:t>
            </w:r>
            <w:proofErr w:type="spellEnd"/>
            <w:r>
              <w:t xml:space="preserve"> ou metotrexato), com intolerância ou falha após 24 semanas de tratamento, em atividade moderada a grave com SLEDAI-2K ≥10 ou CLASI ≥10. </w:t>
            </w:r>
          </w:p>
          <w:p w14:paraId="49E398E2" w14:textId="77777777" w:rsidR="00817793" w:rsidRDefault="00817793">
            <w:pPr>
              <w:spacing w:before="120" w:after="120"/>
            </w:pPr>
          </w:p>
          <w:p w14:paraId="3436C257" w14:textId="77777777" w:rsidR="00817793" w:rsidRDefault="002719FC">
            <w:pPr>
              <w:spacing w:before="120" w:after="120"/>
            </w:pPr>
            <w:r>
              <w:rPr>
                <w:u w:val="single"/>
              </w:rPr>
              <w:t>Para manutenção do tratamento</w:t>
            </w:r>
            <w:r>
              <w:t xml:space="preserve">: Após 24 semanas de tratamento com </w:t>
            </w:r>
            <w:proofErr w:type="spellStart"/>
            <w:r>
              <w:t>anifrolumabe</w:t>
            </w:r>
            <w:proofErr w:type="spellEnd"/>
            <w:r>
              <w:t>, para continuar recebendo o medicamento, o paciente deverá apresentar resposta ao tratamento (definida por redução no SLEDAI-2K em 4 pontos ou mais, redução ≥50% no CLASI em pacientes com CLASI de base ≥10 ou redução de corticosteroide para prednisona ou equivalente &lt; 7,5 mg/dia).</w:t>
            </w:r>
          </w:p>
        </w:tc>
      </w:tr>
      <w:tr w:rsidR="00817793" w14:paraId="7F3BC695" w14:textId="77777777">
        <w:tc>
          <w:tcPr>
            <w:tcW w:w="660" w:type="dxa"/>
            <w:vAlign w:val="center"/>
          </w:tcPr>
          <w:p w14:paraId="2B2B7304" w14:textId="77777777" w:rsidR="00817793" w:rsidRDefault="002719FC">
            <w:pPr>
              <w:spacing w:before="120" w:after="120"/>
              <w:jc w:val="center"/>
            </w:pPr>
            <w:r>
              <w:t>9</w:t>
            </w:r>
          </w:p>
        </w:tc>
        <w:tc>
          <w:tcPr>
            <w:tcW w:w="1811" w:type="dxa"/>
            <w:vAlign w:val="center"/>
          </w:tcPr>
          <w:p w14:paraId="6B91CDAE" w14:textId="77777777" w:rsidR="00817793" w:rsidRDefault="002719FC">
            <w:pPr>
              <w:spacing w:before="120" w:after="120"/>
              <w:jc w:val="center"/>
            </w:pPr>
            <w:bookmarkStart w:id="12" w:name="_26in1rg" w:colFirst="0" w:colLast="0"/>
            <w:bookmarkEnd w:id="12"/>
            <w:r>
              <w:rPr>
                <w:b/>
              </w:rPr>
              <w:t>Posologia e forma de administração</w:t>
            </w:r>
          </w:p>
        </w:tc>
        <w:tc>
          <w:tcPr>
            <w:tcW w:w="6481" w:type="dxa"/>
            <w:vAlign w:val="center"/>
          </w:tcPr>
          <w:p w14:paraId="69664B36" w14:textId="77777777" w:rsidR="00817793" w:rsidRDefault="002719FC">
            <w:pPr>
              <w:spacing w:before="120" w:after="120"/>
            </w:pPr>
            <w:r>
              <w:t xml:space="preserve">A dose recomendada de </w:t>
            </w:r>
            <w:proofErr w:type="spellStart"/>
            <w:r>
              <w:t>Saphnelo</w:t>
            </w:r>
            <w:proofErr w:type="spellEnd"/>
            <w:r>
              <w:t>® é 300 mg endovenoso, administrada por infusão intravenosa ao longo de um período de 30 minutos, a cada 4 semanas</w:t>
            </w:r>
          </w:p>
        </w:tc>
      </w:tr>
      <w:tr w:rsidR="00817793" w14:paraId="23672909" w14:textId="77777777">
        <w:tc>
          <w:tcPr>
            <w:tcW w:w="660" w:type="dxa"/>
            <w:vAlign w:val="center"/>
          </w:tcPr>
          <w:p w14:paraId="4B73E586" w14:textId="77777777" w:rsidR="00817793" w:rsidRDefault="002719FC">
            <w:pPr>
              <w:spacing w:before="120" w:after="120"/>
              <w:jc w:val="center"/>
            </w:pPr>
            <w:r>
              <w:t>12</w:t>
            </w:r>
          </w:p>
        </w:tc>
        <w:tc>
          <w:tcPr>
            <w:tcW w:w="1811" w:type="dxa"/>
            <w:vAlign w:val="center"/>
          </w:tcPr>
          <w:p w14:paraId="1B0FB252" w14:textId="77777777" w:rsidR="00817793" w:rsidRDefault="002719FC">
            <w:pPr>
              <w:spacing w:before="120" w:after="120"/>
              <w:jc w:val="center"/>
            </w:pPr>
            <w:r>
              <w:rPr>
                <w:b/>
              </w:rPr>
              <w:t>Contraindicações</w:t>
            </w:r>
          </w:p>
        </w:tc>
        <w:tc>
          <w:tcPr>
            <w:tcW w:w="6481" w:type="dxa"/>
            <w:vAlign w:val="center"/>
          </w:tcPr>
          <w:p w14:paraId="112E579C" w14:textId="77777777" w:rsidR="00817793" w:rsidRDefault="002719FC">
            <w:pPr>
              <w:spacing w:before="120" w:after="120"/>
            </w:pPr>
            <w:r>
              <w:t xml:space="preserve">Pacientes com hipersensibilidade à substância ativa ou a qualquer um de seus excipientes (histidina, cloridrato de histidina monoidratado, cloridrato de lisina, trealose </w:t>
            </w:r>
            <w:proofErr w:type="spellStart"/>
            <w:r>
              <w:t>di-hidratada</w:t>
            </w:r>
            <w:proofErr w:type="spellEnd"/>
            <w:r>
              <w:t xml:space="preserve">, </w:t>
            </w:r>
            <w:proofErr w:type="spellStart"/>
            <w:r>
              <w:t>polissorbato</w:t>
            </w:r>
            <w:proofErr w:type="spellEnd"/>
            <w:r>
              <w:t xml:space="preserve"> 80, água para injetáveis)</w:t>
            </w:r>
          </w:p>
        </w:tc>
      </w:tr>
      <w:tr w:rsidR="00817793" w14:paraId="6DDF2AFC" w14:textId="77777777">
        <w:tc>
          <w:tcPr>
            <w:tcW w:w="660" w:type="dxa"/>
            <w:vAlign w:val="center"/>
          </w:tcPr>
          <w:p w14:paraId="39F18D26" w14:textId="77777777" w:rsidR="00817793" w:rsidRDefault="002719FC">
            <w:pPr>
              <w:spacing w:before="120" w:after="120"/>
              <w:jc w:val="center"/>
            </w:pPr>
            <w:r>
              <w:t>13</w:t>
            </w:r>
          </w:p>
        </w:tc>
        <w:tc>
          <w:tcPr>
            <w:tcW w:w="1811" w:type="dxa"/>
            <w:vAlign w:val="center"/>
          </w:tcPr>
          <w:p w14:paraId="4CBEF329" w14:textId="77777777" w:rsidR="00817793" w:rsidRDefault="002719FC">
            <w:pPr>
              <w:spacing w:before="120" w:after="120"/>
              <w:jc w:val="center"/>
            </w:pPr>
            <w:r>
              <w:rPr>
                <w:b/>
              </w:rPr>
              <w:t>Precauções</w:t>
            </w:r>
          </w:p>
        </w:tc>
        <w:tc>
          <w:tcPr>
            <w:tcW w:w="6481" w:type="dxa"/>
            <w:vAlign w:val="center"/>
          </w:tcPr>
          <w:p w14:paraId="4D96F016" w14:textId="77777777" w:rsidR="00817793" w:rsidRDefault="002719FC">
            <w:pPr>
              <w:spacing w:before="120" w:after="120"/>
            </w:pPr>
            <w:r>
              <w:t>[Fonte: Bula]</w:t>
            </w:r>
          </w:p>
          <w:p w14:paraId="63807185" w14:textId="77777777" w:rsidR="00817793" w:rsidRDefault="002719FC">
            <w:pPr>
              <w:spacing w:before="120" w:after="120"/>
            </w:pPr>
            <w:r>
              <w:t>[Em caso de restrição de uso com devidas precauções em determinada condição, indicar somente as mais importantes – por exemplo: “o medicamento pode causar alterações hepáticas e por isso o paciente deve ser monitorado com dosagem sérica de enzimas hepáticas mensalmente”]</w:t>
            </w:r>
          </w:p>
        </w:tc>
      </w:tr>
      <w:tr w:rsidR="00817793" w14:paraId="43E60CDC" w14:textId="77777777">
        <w:tc>
          <w:tcPr>
            <w:tcW w:w="660" w:type="dxa"/>
            <w:vAlign w:val="center"/>
          </w:tcPr>
          <w:p w14:paraId="4E1E336A" w14:textId="77777777" w:rsidR="00817793" w:rsidRDefault="002719FC">
            <w:pPr>
              <w:spacing w:before="120" w:after="120"/>
              <w:jc w:val="center"/>
            </w:pPr>
            <w:r>
              <w:t>14</w:t>
            </w:r>
          </w:p>
        </w:tc>
        <w:tc>
          <w:tcPr>
            <w:tcW w:w="1811" w:type="dxa"/>
            <w:vAlign w:val="center"/>
          </w:tcPr>
          <w:p w14:paraId="5BE2FB35" w14:textId="77777777" w:rsidR="00817793" w:rsidRDefault="002719FC">
            <w:pPr>
              <w:spacing w:before="120" w:after="120"/>
              <w:jc w:val="center"/>
              <w:rPr>
                <w:b/>
              </w:rPr>
            </w:pPr>
            <w:r>
              <w:rPr>
                <w:b/>
              </w:rPr>
              <w:t>Eventos adversos</w:t>
            </w:r>
          </w:p>
        </w:tc>
        <w:tc>
          <w:tcPr>
            <w:tcW w:w="6481" w:type="dxa"/>
            <w:vAlign w:val="center"/>
          </w:tcPr>
          <w:p w14:paraId="4BFDED47" w14:textId="77777777" w:rsidR="00817793" w:rsidRDefault="002719FC">
            <w:pPr>
              <w:spacing w:before="120" w:after="120"/>
            </w:pPr>
            <w:proofErr w:type="spellStart"/>
            <w:r>
              <w:t>Anifrolumabe</w:t>
            </w:r>
            <w:proofErr w:type="spellEnd"/>
            <w:r>
              <w:t xml:space="preserve"> pode aumentar o risco de infecções respiratórias e herpes zoster, devendo-se ter cautela em pacientes com infecções crônicas ou fatores de risco conhecidos para infecção.</w:t>
            </w:r>
          </w:p>
          <w:p w14:paraId="5B062015" w14:textId="77777777" w:rsidR="00817793" w:rsidRDefault="002719FC">
            <w:pPr>
              <w:spacing w:before="120" w:after="120"/>
            </w:pPr>
            <w:r>
              <w:t>Há dados limitados sobre a segurança do medicamento em gestantes (categoria B) e sobre o risco na lactação.</w:t>
            </w:r>
          </w:p>
          <w:p w14:paraId="37209DB7" w14:textId="77777777" w:rsidR="00817793" w:rsidRDefault="002719FC">
            <w:pPr>
              <w:spacing w:before="120" w:after="120"/>
            </w:pPr>
            <w:r>
              <w:lastRenderedPageBreak/>
              <w:t xml:space="preserve">Os eventos adversos mais comumente relatados (≥5%) durante o tratamento com </w:t>
            </w:r>
            <w:proofErr w:type="spellStart"/>
            <w:r>
              <w:t>anifrolumabe</w:t>
            </w:r>
            <w:proofErr w:type="spellEnd"/>
            <w:r>
              <w:t>, independentemente da causalidade, foram nasofaringite, infecção do trato respiratório superior, infecção do trato urinário, bronquite, reação relacionada à infusão, cefaleia, herpes zoster, dor nas costas, sinusite e tosse.</w:t>
            </w:r>
          </w:p>
        </w:tc>
      </w:tr>
    </w:tbl>
    <w:p w14:paraId="16287F21" w14:textId="77777777" w:rsidR="00817793" w:rsidRDefault="00817793">
      <w:pPr>
        <w:rPr>
          <w:smallCaps/>
          <w:highlight w:val="cyan"/>
        </w:rPr>
      </w:pPr>
    </w:p>
    <w:tbl>
      <w:tblPr>
        <w:tblStyle w:val="a2"/>
        <w:tblW w:w="914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42"/>
      </w:tblGrid>
      <w:tr w:rsidR="00817793" w14:paraId="34960682" w14:textId="77777777">
        <w:trPr>
          <w:trHeight w:val="750"/>
        </w:trPr>
        <w:tc>
          <w:tcPr>
            <w:tcW w:w="9142" w:type="dxa"/>
            <w:shd w:val="clear" w:color="auto" w:fill="D9E2F3"/>
            <w:vAlign w:val="center"/>
          </w:tcPr>
          <w:p w14:paraId="6DF3783E" w14:textId="77777777" w:rsidR="00817793" w:rsidRDefault="002719FC">
            <w:pPr>
              <w:spacing w:before="120" w:after="120" w:line="240" w:lineRule="auto"/>
              <w:jc w:val="center"/>
              <w:rPr>
                <w:b/>
              </w:rPr>
            </w:pPr>
            <w:r>
              <w:rPr>
                <w:b/>
              </w:rPr>
              <w:t>Comentários gerais sobre a ficha técnica</w:t>
            </w:r>
          </w:p>
        </w:tc>
      </w:tr>
      <w:tr w:rsidR="00817793" w14:paraId="6DC3D408" w14:textId="77777777">
        <w:trPr>
          <w:trHeight w:val="750"/>
        </w:trPr>
        <w:tc>
          <w:tcPr>
            <w:tcW w:w="9142" w:type="dxa"/>
            <w:vAlign w:val="center"/>
          </w:tcPr>
          <w:p w14:paraId="72219D49" w14:textId="77777777" w:rsidR="00817793" w:rsidRDefault="002719FC">
            <w:pPr>
              <w:spacing w:before="120" w:after="120"/>
              <w:jc w:val="center"/>
            </w:pPr>
            <w:r>
              <w:t>Sem comentários adicionais.</w:t>
            </w:r>
          </w:p>
        </w:tc>
      </w:tr>
    </w:tbl>
    <w:p w14:paraId="5BE93A62" w14:textId="77777777" w:rsidR="00817793" w:rsidRDefault="00817793">
      <w:pPr>
        <w:rPr>
          <w:b/>
        </w:rPr>
      </w:pPr>
    </w:p>
    <w:p w14:paraId="384BA73E" w14:textId="77777777" w:rsidR="00817793" w:rsidRDefault="002719FC">
      <w:pPr>
        <w:pBdr>
          <w:top w:val="nil"/>
          <w:left w:val="nil"/>
          <w:bottom w:val="nil"/>
          <w:right w:val="nil"/>
          <w:between w:val="nil"/>
        </w:pBdr>
        <w:spacing w:before="120" w:after="120" w:line="240" w:lineRule="auto"/>
        <w:rPr>
          <w:b/>
        </w:rPr>
      </w:pPr>
      <w:r>
        <w:br w:type="page"/>
      </w:r>
    </w:p>
    <w:p w14:paraId="229B2A09" w14:textId="77777777" w:rsidR="00817793" w:rsidRDefault="002719FC">
      <w:pPr>
        <w:pStyle w:val="Ttulo1"/>
      </w:pPr>
      <w:r>
        <w:lastRenderedPageBreak/>
        <w:t>5. AVALIAÇÃO DE EFICÁCIA/EFETIVIDADE E SEGURANÇA</w:t>
      </w:r>
    </w:p>
    <w:p w14:paraId="6C778751" w14:textId="77777777" w:rsidR="00817793" w:rsidRDefault="002719FC">
      <w:r>
        <w:t xml:space="preserve">A avaliação da eficácia/efetividade e segurança foi analisada a partir de elementos contidos no roteiro elaborado pela equipe técnica da ANS e considerando as Diretrizes Metodológicas publicadas pelo Ministério da Saúde para a elaboração de revisões sistemáticas </w:t>
      </w:r>
      <w:r>
        <w:rPr>
          <w:vertAlign w:val="superscript"/>
        </w:rPr>
        <w:t xml:space="preserve">1 </w:t>
      </w:r>
      <w:r>
        <w:t xml:space="preserve">ou de parecer técnico-científico (PTC) </w:t>
      </w:r>
      <w:r>
        <w:rPr>
          <w:vertAlign w:val="superscript"/>
        </w:rPr>
        <w:t>2</w:t>
      </w:r>
      <w:r>
        <w:t>.</w:t>
      </w:r>
    </w:p>
    <w:p w14:paraId="2EAD3CB9" w14:textId="77777777" w:rsidR="00817793" w:rsidRDefault="002719FC">
      <w:pPr>
        <w:spacing w:before="0" w:after="160" w:line="259" w:lineRule="auto"/>
        <w:jc w:val="left"/>
      </w:pPr>
      <w:r>
        <w:t>O proponente apresentou o seguinte tipo de síntese de evidências:</w:t>
      </w:r>
    </w:p>
    <w:p w14:paraId="6192CCEE" w14:textId="77777777" w:rsidR="00817793" w:rsidRDefault="002719FC">
      <w:pPr>
        <w:spacing w:before="0" w:after="160" w:line="259" w:lineRule="auto"/>
        <w:jc w:val="left"/>
      </w:pPr>
      <w:proofErr w:type="gramStart"/>
      <w:r>
        <w:t>( x</w:t>
      </w:r>
      <w:proofErr w:type="gramEnd"/>
      <w:r>
        <w:t xml:space="preserve"> ) Revisão sistemática.</w:t>
      </w:r>
    </w:p>
    <w:p w14:paraId="6391B618" w14:textId="77777777" w:rsidR="00817793" w:rsidRDefault="002719FC">
      <w:pPr>
        <w:spacing w:before="0" w:after="160" w:line="259" w:lineRule="auto"/>
        <w:jc w:val="left"/>
      </w:pPr>
      <w:proofErr w:type="gramStart"/>
      <w:r>
        <w:t xml:space="preserve">(  </w:t>
      </w:r>
      <w:proofErr w:type="gramEnd"/>
      <w:r>
        <w:t xml:space="preserve"> ) Parecer técnico-científico (PTC).</w:t>
      </w:r>
    </w:p>
    <w:tbl>
      <w:tblPr>
        <w:tblStyle w:val="a3"/>
        <w:tblW w:w="915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50"/>
      </w:tblGrid>
      <w:tr w:rsidR="00817793" w14:paraId="5E225A5B" w14:textId="77777777">
        <w:trPr>
          <w:trHeight w:val="551"/>
        </w:trPr>
        <w:tc>
          <w:tcPr>
            <w:tcW w:w="9150" w:type="dxa"/>
            <w:shd w:val="clear" w:color="auto" w:fill="D9E2F3"/>
            <w:vAlign w:val="center"/>
          </w:tcPr>
          <w:p w14:paraId="4E665D45" w14:textId="77777777" w:rsidR="00817793" w:rsidRDefault="002719FC">
            <w:pPr>
              <w:spacing w:before="120" w:after="120" w:line="240" w:lineRule="auto"/>
              <w:jc w:val="center"/>
              <w:rPr>
                <w:b/>
              </w:rPr>
            </w:pPr>
            <w:r>
              <w:rPr>
                <w:b/>
              </w:rPr>
              <w:t>Comentários gerais sobre escolha do tipo de síntese</w:t>
            </w:r>
          </w:p>
        </w:tc>
      </w:tr>
      <w:tr w:rsidR="00817793" w14:paraId="6C6E5F73" w14:textId="77777777">
        <w:trPr>
          <w:trHeight w:val="750"/>
        </w:trPr>
        <w:tc>
          <w:tcPr>
            <w:tcW w:w="9150" w:type="dxa"/>
            <w:vAlign w:val="center"/>
          </w:tcPr>
          <w:p w14:paraId="3D208E5E" w14:textId="0FAC79CC" w:rsidR="00817793" w:rsidRDefault="002719FC">
            <w:pPr>
              <w:spacing w:before="120" w:after="120" w:line="240" w:lineRule="auto"/>
            </w:pPr>
            <w:r>
              <w:t>Foi elaborada pelo proponente uma revisão sistemática da literatura com o objetivo de identificar ensaios clínicos randomizados e revisões sistemáticas de ensaios clínicos randomizados referentes à pergunta de pesquisa apresentada a seguir.</w:t>
            </w:r>
          </w:p>
        </w:tc>
      </w:tr>
    </w:tbl>
    <w:p w14:paraId="34B3F2EB" w14:textId="77777777" w:rsidR="00817793" w:rsidRDefault="00817793">
      <w:pPr>
        <w:rPr>
          <w:smallCaps/>
          <w:highlight w:val="cyan"/>
        </w:rPr>
      </w:pPr>
    </w:p>
    <w:p w14:paraId="334452AF" w14:textId="77777777" w:rsidR="00817793" w:rsidRDefault="002719FC">
      <w:pPr>
        <w:pStyle w:val="Ttulo2"/>
      </w:pPr>
      <w:r>
        <w:t>5.1. Pergunta estruturada</w:t>
      </w:r>
    </w:p>
    <w:p w14:paraId="7D34F5C7" w14:textId="77777777" w:rsidR="00817793" w:rsidRDefault="00817793">
      <w:pPr>
        <w:rPr>
          <w:i/>
          <w:color w:val="FF0000"/>
        </w:rPr>
      </w:pPr>
    </w:p>
    <w:tbl>
      <w:tblPr>
        <w:tblW w:w="9102"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102"/>
      </w:tblGrid>
      <w:tr w:rsidR="00817793" w14:paraId="6182D094" w14:textId="77777777">
        <w:tc>
          <w:tcPr>
            <w:tcW w:w="9102" w:type="dxa"/>
            <w:shd w:val="clear" w:color="auto" w:fill="D9E2F3"/>
          </w:tcPr>
          <w:p w14:paraId="30F4866F" w14:textId="77777777" w:rsidR="00817793" w:rsidRDefault="002719FC">
            <w:pPr>
              <w:jc w:val="center"/>
              <w:rPr>
                <w:u w:val="single"/>
              </w:rPr>
            </w:pPr>
            <w:r>
              <w:rPr>
                <w:u w:val="single"/>
              </w:rPr>
              <w:t>PERGUNTA ESTRUTURADA PROPONENTE:</w:t>
            </w:r>
          </w:p>
          <w:p w14:paraId="6E65B555" w14:textId="77777777" w:rsidR="00817793" w:rsidRDefault="002719FC">
            <w:pPr>
              <w:jc w:val="center"/>
            </w:pPr>
            <w:r>
              <w:t xml:space="preserve">O tratamento com </w:t>
            </w:r>
            <w:proofErr w:type="spellStart"/>
            <w:r>
              <w:t>anifrolumabe</w:t>
            </w:r>
            <w:proofErr w:type="spellEnd"/>
            <w:r>
              <w:t xml:space="preserve"> é eficaz e seguro para o tratamento de pacientes com LES com moderada a alta atividade?</w:t>
            </w:r>
          </w:p>
          <w:p w14:paraId="2B5FC656" w14:textId="77777777" w:rsidR="00817793" w:rsidRDefault="002719FC">
            <w:pPr>
              <w:jc w:val="center"/>
              <w:rPr>
                <w:u w:val="single"/>
              </w:rPr>
            </w:pPr>
            <w:r>
              <w:rPr>
                <w:u w:val="single"/>
              </w:rPr>
              <w:t>PERGUNTA ESTRUTURADA PARECERISTAS:</w:t>
            </w:r>
          </w:p>
          <w:p w14:paraId="2DCE083E" w14:textId="3ED71210" w:rsidR="00817793" w:rsidRDefault="002719FC">
            <w:pPr>
              <w:jc w:val="center"/>
            </w:pPr>
            <w:r>
              <w:t xml:space="preserve">O </w:t>
            </w:r>
            <w:proofErr w:type="spellStart"/>
            <w:r>
              <w:t>anifrolumabe</w:t>
            </w:r>
            <w:proofErr w:type="spellEnd"/>
            <w:r>
              <w:t xml:space="preserve"> é eficaz e seguro como tratamento de adição para pacientes com lúpus eritematoso sistêmico</w:t>
            </w:r>
            <w:r w:rsidR="000976E4">
              <w:t>,</w:t>
            </w:r>
            <w:r>
              <w:t xml:space="preserve"> com moderada a alta atividade da doença</w:t>
            </w:r>
            <w:r w:rsidR="000976E4">
              <w:t>, e</w:t>
            </w:r>
            <w:r>
              <w:t xml:space="preserve"> com falha ao tratamento padrão para esse nível de atividade (terapia tripla (hidroxicloroquina + prednisona ≥ 7,5 mg ou equivalente + um imunossupressor)</w:t>
            </w:r>
            <w:r w:rsidR="000976E4">
              <w:t xml:space="preserve">, </w:t>
            </w:r>
            <w:r>
              <w:t xml:space="preserve">quando comparado ao tratamento padrão isoladamente? </w:t>
            </w:r>
          </w:p>
        </w:tc>
      </w:tr>
    </w:tbl>
    <w:p w14:paraId="53EA6C6D" w14:textId="77777777" w:rsidR="00817793" w:rsidRDefault="002719FC">
      <w:pPr>
        <w:pStyle w:val="Ttulo4"/>
      </w:pPr>
      <w:bookmarkStart w:id="13" w:name="_llay7jknn09d" w:colFirst="0" w:colLast="0"/>
      <w:bookmarkStart w:id="14" w:name="_1ksv4uv" w:colFirst="0" w:colLast="0"/>
      <w:bookmarkEnd w:id="13"/>
      <w:bookmarkEnd w:id="14"/>
      <w:r>
        <w:rPr>
          <w:b/>
        </w:rPr>
        <w:lastRenderedPageBreak/>
        <w:t xml:space="preserve">Quadro 4. </w:t>
      </w:r>
      <w:r>
        <w:t>Pergunta estruturada (PICOS) (versão do PROPONENTE e do PARECERISTA)</w:t>
      </w:r>
    </w:p>
    <w:tbl>
      <w:tblPr>
        <w:tblW w:w="90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3685"/>
        <w:gridCol w:w="3705"/>
      </w:tblGrid>
      <w:tr w:rsidR="00817793" w14:paraId="40F1A49E" w14:textId="77777777">
        <w:trPr>
          <w:trHeight w:val="454"/>
          <w:jc w:val="center"/>
        </w:trPr>
        <w:tc>
          <w:tcPr>
            <w:tcW w:w="1702" w:type="dxa"/>
            <w:shd w:val="clear" w:color="auto" w:fill="D9E2F3"/>
          </w:tcPr>
          <w:p w14:paraId="2A5F797D" w14:textId="77777777" w:rsidR="00817793" w:rsidRDefault="002719FC">
            <w:pPr>
              <w:spacing w:before="120" w:after="120" w:line="240" w:lineRule="auto"/>
              <w:jc w:val="center"/>
              <w:rPr>
                <w:b/>
              </w:rPr>
            </w:pPr>
            <w:r>
              <w:rPr>
                <w:b/>
              </w:rPr>
              <w:t>Componente</w:t>
            </w:r>
          </w:p>
        </w:tc>
        <w:tc>
          <w:tcPr>
            <w:tcW w:w="3685" w:type="dxa"/>
            <w:shd w:val="clear" w:color="auto" w:fill="D9E2F3"/>
          </w:tcPr>
          <w:p w14:paraId="68FCA9D8" w14:textId="77777777" w:rsidR="00817793" w:rsidRDefault="002719FC">
            <w:pPr>
              <w:spacing w:before="120" w:after="120" w:line="240" w:lineRule="auto"/>
              <w:jc w:val="center"/>
              <w:rPr>
                <w:b/>
              </w:rPr>
            </w:pPr>
            <w:r>
              <w:rPr>
                <w:b/>
              </w:rPr>
              <w:t>Proponente</w:t>
            </w:r>
          </w:p>
        </w:tc>
        <w:tc>
          <w:tcPr>
            <w:tcW w:w="3705" w:type="dxa"/>
            <w:shd w:val="clear" w:color="auto" w:fill="D9E2F3"/>
          </w:tcPr>
          <w:p w14:paraId="515E1737" w14:textId="77777777" w:rsidR="00817793" w:rsidRDefault="002719FC">
            <w:pPr>
              <w:spacing w:before="120" w:after="120" w:line="240" w:lineRule="auto"/>
              <w:jc w:val="center"/>
              <w:rPr>
                <w:b/>
              </w:rPr>
            </w:pPr>
            <w:r>
              <w:rPr>
                <w:b/>
              </w:rPr>
              <w:t>Parecerista</w:t>
            </w:r>
          </w:p>
        </w:tc>
      </w:tr>
      <w:tr w:rsidR="00817793" w14:paraId="4CAE800A" w14:textId="77777777">
        <w:trPr>
          <w:trHeight w:val="454"/>
          <w:jc w:val="center"/>
        </w:trPr>
        <w:tc>
          <w:tcPr>
            <w:tcW w:w="1702" w:type="dxa"/>
            <w:shd w:val="clear" w:color="auto" w:fill="auto"/>
          </w:tcPr>
          <w:p w14:paraId="6A8A1D75" w14:textId="77777777" w:rsidR="00817793" w:rsidRDefault="002719FC">
            <w:pPr>
              <w:spacing w:before="120" w:after="120" w:line="240" w:lineRule="auto"/>
              <w:jc w:val="center"/>
              <w:rPr>
                <w:b/>
              </w:rPr>
            </w:pPr>
            <w:r>
              <w:rPr>
                <w:b/>
              </w:rPr>
              <w:t>População</w:t>
            </w:r>
          </w:p>
        </w:tc>
        <w:tc>
          <w:tcPr>
            <w:tcW w:w="3685" w:type="dxa"/>
            <w:shd w:val="clear" w:color="auto" w:fill="auto"/>
          </w:tcPr>
          <w:p w14:paraId="27315328" w14:textId="77777777" w:rsidR="00817793" w:rsidRDefault="002719FC">
            <w:pPr>
              <w:spacing w:before="120" w:after="120" w:line="240" w:lineRule="auto"/>
              <w:jc w:val="center"/>
            </w:pPr>
            <w:r>
              <w:t>Pacientes com LES com moderada a alta atividade da doença</w:t>
            </w:r>
          </w:p>
        </w:tc>
        <w:tc>
          <w:tcPr>
            <w:tcW w:w="3705" w:type="dxa"/>
          </w:tcPr>
          <w:p w14:paraId="0D8D49BE" w14:textId="77777777" w:rsidR="00817793" w:rsidRDefault="002719FC">
            <w:pPr>
              <w:spacing w:before="120" w:after="120" w:line="240" w:lineRule="auto"/>
              <w:jc w:val="center"/>
            </w:pPr>
            <w:r>
              <w:t xml:space="preserve">Pacientes com LES com moderada a alta atividade da doença que falharam a terapia tripla, à base de antimalárico + </w:t>
            </w:r>
            <w:proofErr w:type="spellStart"/>
            <w:r>
              <w:t>corticoide+imunossupressor</w:t>
            </w:r>
            <w:proofErr w:type="spellEnd"/>
            <w:r>
              <w:t>.</w:t>
            </w:r>
          </w:p>
        </w:tc>
      </w:tr>
      <w:tr w:rsidR="00817793" w14:paraId="06175D25" w14:textId="77777777">
        <w:trPr>
          <w:trHeight w:val="454"/>
          <w:jc w:val="center"/>
        </w:trPr>
        <w:tc>
          <w:tcPr>
            <w:tcW w:w="1702" w:type="dxa"/>
            <w:shd w:val="clear" w:color="auto" w:fill="auto"/>
          </w:tcPr>
          <w:p w14:paraId="6F3BF7C7" w14:textId="77777777" w:rsidR="00817793" w:rsidRDefault="002719FC">
            <w:pPr>
              <w:spacing w:before="120" w:after="120" w:line="240" w:lineRule="auto"/>
              <w:jc w:val="center"/>
              <w:rPr>
                <w:highlight w:val="yellow"/>
              </w:rPr>
            </w:pPr>
            <w:r>
              <w:rPr>
                <w:b/>
              </w:rPr>
              <w:t>Intervenção (tecnologia)</w:t>
            </w:r>
          </w:p>
        </w:tc>
        <w:tc>
          <w:tcPr>
            <w:tcW w:w="3685" w:type="dxa"/>
            <w:shd w:val="clear" w:color="auto" w:fill="auto"/>
          </w:tcPr>
          <w:p w14:paraId="4E920E6C" w14:textId="77777777" w:rsidR="00817793" w:rsidRDefault="002719FC">
            <w:pPr>
              <w:spacing w:before="120" w:after="120" w:line="240" w:lineRule="auto"/>
              <w:jc w:val="center"/>
            </w:pPr>
            <w:proofErr w:type="spellStart"/>
            <w:r>
              <w:t>Anifrolumabe</w:t>
            </w:r>
            <w:proofErr w:type="spellEnd"/>
            <w:r>
              <w:t xml:space="preserve"> 300 mg intravenoso a cada 28 dias + terapia padrão</w:t>
            </w:r>
          </w:p>
        </w:tc>
        <w:tc>
          <w:tcPr>
            <w:tcW w:w="3705" w:type="dxa"/>
          </w:tcPr>
          <w:p w14:paraId="2B7475B8" w14:textId="77777777" w:rsidR="00817793" w:rsidRDefault="002719FC">
            <w:pPr>
              <w:spacing w:before="120" w:after="120" w:line="240" w:lineRule="auto"/>
              <w:jc w:val="center"/>
            </w:pPr>
            <w:proofErr w:type="spellStart"/>
            <w:r>
              <w:t>Anifrolumabe</w:t>
            </w:r>
            <w:proofErr w:type="spellEnd"/>
            <w:r>
              <w:t xml:space="preserve"> 300 mg intravenoso a cada 28 dias + terapia tripla (hidroxicloroquina + </w:t>
            </w:r>
            <w:proofErr w:type="spellStart"/>
            <w:r>
              <w:t>corticosteróide</w:t>
            </w:r>
            <w:proofErr w:type="spellEnd"/>
            <w:r>
              <w:t xml:space="preserve"> [prednisona ≥ 7,5 mg ou equivalente] + um imunossupressor)</w:t>
            </w:r>
          </w:p>
          <w:p w14:paraId="29957E35" w14:textId="77777777" w:rsidR="00817793" w:rsidRDefault="00817793" w:rsidP="00B64789">
            <w:pPr>
              <w:spacing w:before="120" w:after="120" w:line="240" w:lineRule="auto"/>
            </w:pPr>
          </w:p>
        </w:tc>
      </w:tr>
      <w:tr w:rsidR="00817793" w14:paraId="6AAD9D04" w14:textId="77777777">
        <w:trPr>
          <w:trHeight w:val="454"/>
          <w:jc w:val="center"/>
        </w:trPr>
        <w:tc>
          <w:tcPr>
            <w:tcW w:w="1702" w:type="dxa"/>
            <w:shd w:val="clear" w:color="auto" w:fill="auto"/>
          </w:tcPr>
          <w:p w14:paraId="09D5279E" w14:textId="77777777" w:rsidR="00817793" w:rsidRDefault="002719FC">
            <w:pPr>
              <w:spacing w:before="120" w:after="120" w:line="240" w:lineRule="auto"/>
              <w:jc w:val="center"/>
              <w:rPr>
                <w:b/>
              </w:rPr>
            </w:pPr>
            <w:bookmarkStart w:id="15" w:name="_44sinio" w:colFirst="0" w:colLast="0"/>
            <w:bookmarkEnd w:id="15"/>
            <w:r>
              <w:rPr>
                <w:b/>
              </w:rPr>
              <w:t>Comparador</w:t>
            </w:r>
          </w:p>
        </w:tc>
        <w:tc>
          <w:tcPr>
            <w:tcW w:w="3685" w:type="dxa"/>
            <w:shd w:val="clear" w:color="auto" w:fill="auto"/>
          </w:tcPr>
          <w:p w14:paraId="400B12A7" w14:textId="77777777" w:rsidR="00817793" w:rsidRDefault="002719FC">
            <w:pPr>
              <w:spacing w:before="120" w:after="120" w:line="240" w:lineRule="auto"/>
              <w:jc w:val="center"/>
            </w:pPr>
            <w:r>
              <w:t>Placebo + terapia padrão</w:t>
            </w:r>
          </w:p>
        </w:tc>
        <w:tc>
          <w:tcPr>
            <w:tcW w:w="3705" w:type="dxa"/>
          </w:tcPr>
          <w:p w14:paraId="7AF44384" w14:textId="77777777" w:rsidR="00817793" w:rsidRDefault="002719FC">
            <w:pPr>
              <w:spacing w:before="120" w:after="120" w:line="240" w:lineRule="auto"/>
              <w:jc w:val="center"/>
            </w:pPr>
            <w:r>
              <w:t xml:space="preserve">Placebo + Terapia tripla (hidroxicloroquina + </w:t>
            </w:r>
            <w:proofErr w:type="spellStart"/>
            <w:r>
              <w:t>corticosteróide</w:t>
            </w:r>
            <w:proofErr w:type="spellEnd"/>
            <w:r>
              <w:t xml:space="preserve"> [prednisona ≥ 7,5 mg ou equivalente] + um imunossupressor)</w:t>
            </w:r>
          </w:p>
        </w:tc>
      </w:tr>
      <w:tr w:rsidR="00817793" w14:paraId="3632CA5F" w14:textId="77777777">
        <w:trPr>
          <w:trHeight w:val="454"/>
          <w:jc w:val="center"/>
        </w:trPr>
        <w:tc>
          <w:tcPr>
            <w:tcW w:w="1702" w:type="dxa"/>
            <w:shd w:val="clear" w:color="auto" w:fill="auto"/>
          </w:tcPr>
          <w:p w14:paraId="29999C21" w14:textId="77777777" w:rsidR="00817793" w:rsidRDefault="002719FC">
            <w:pPr>
              <w:spacing w:before="120" w:after="120" w:line="240" w:lineRule="auto"/>
              <w:jc w:val="center"/>
              <w:rPr>
                <w:b/>
              </w:rPr>
            </w:pPr>
            <w:r>
              <w:rPr>
                <w:b/>
              </w:rPr>
              <w:t>Desfechos (</w:t>
            </w:r>
            <w:proofErr w:type="spellStart"/>
            <w:r>
              <w:rPr>
                <w:b/>
                <w:i/>
              </w:rPr>
              <w:t>outcomes</w:t>
            </w:r>
            <w:proofErr w:type="spellEnd"/>
            <w:r>
              <w:rPr>
                <w:b/>
              </w:rPr>
              <w:t>)</w:t>
            </w:r>
          </w:p>
        </w:tc>
        <w:tc>
          <w:tcPr>
            <w:tcW w:w="3685" w:type="dxa"/>
            <w:shd w:val="clear" w:color="auto" w:fill="auto"/>
          </w:tcPr>
          <w:p w14:paraId="36338E2A" w14:textId="77777777" w:rsidR="00817793" w:rsidRDefault="002719FC">
            <w:pPr>
              <w:spacing w:before="120" w:after="120" w:line="240" w:lineRule="auto"/>
              <w:jc w:val="center"/>
            </w:pPr>
            <w:r>
              <w:t>Eficácia:</w:t>
            </w:r>
          </w:p>
          <w:p w14:paraId="067500FF" w14:textId="4A352611" w:rsidR="00817793" w:rsidRDefault="002719FC">
            <w:pPr>
              <w:spacing w:before="120" w:after="120" w:line="240" w:lineRule="auto"/>
              <w:jc w:val="center"/>
            </w:pPr>
            <w:r>
              <w:t>-</w:t>
            </w:r>
            <w:r w:rsidR="00B40BD2">
              <w:t xml:space="preserve"> </w:t>
            </w:r>
            <w:r>
              <w:t>Resposta ao tratamento (BICLA)</w:t>
            </w:r>
          </w:p>
          <w:p w14:paraId="56FC0942" w14:textId="74024240" w:rsidR="00817793" w:rsidRDefault="002719FC">
            <w:pPr>
              <w:spacing w:before="120" w:after="120" w:line="240" w:lineRule="auto"/>
              <w:jc w:val="center"/>
            </w:pPr>
            <w:r>
              <w:t>-</w:t>
            </w:r>
            <w:r w:rsidR="00B40BD2">
              <w:t xml:space="preserve"> </w:t>
            </w:r>
            <w:r>
              <w:t>Redução na atividade da doença (LLDAS)</w:t>
            </w:r>
          </w:p>
          <w:p w14:paraId="638C7D21" w14:textId="15B4768E" w:rsidR="00817793" w:rsidRDefault="002719FC">
            <w:pPr>
              <w:spacing w:before="120" w:after="120" w:line="240" w:lineRule="auto"/>
              <w:jc w:val="center"/>
            </w:pPr>
            <w:r>
              <w:t>-</w:t>
            </w:r>
            <w:r w:rsidR="00B40BD2">
              <w:t xml:space="preserve"> </w:t>
            </w:r>
            <w:r>
              <w:t>Redução na atividade cutânea da doença (CLASI)</w:t>
            </w:r>
          </w:p>
          <w:p w14:paraId="36AB6CD8" w14:textId="4734EF3E" w:rsidR="00817793" w:rsidRDefault="002719FC">
            <w:pPr>
              <w:spacing w:before="120" w:after="120" w:line="240" w:lineRule="auto"/>
              <w:jc w:val="center"/>
            </w:pPr>
            <w:r>
              <w:t>-</w:t>
            </w:r>
            <w:r w:rsidR="00B40BD2">
              <w:t xml:space="preserve"> </w:t>
            </w:r>
            <w:r>
              <w:t xml:space="preserve">Redução no uso de </w:t>
            </w:r>
            <w:proofErr w:type="spellStart"/>
            <w:r>
              <w:t>corticosteróides</w:t>
            </w:r>
            <w:proofErr w:type="spellEnd"/>
          </w:p>
          <w:p w14:paraId="61198E2A" w14:textId="77777777" w:rsidR="00817793" w:rsidRDefault="002719FC">
            <w:pPr>
              <w:spacing w:before="120" w:after="120" w:line="240" w:lineRule="auto"/>
              <w:jc w:val="center"/>
            </w:pPr>
            <w:r>
              <w:t>Segurança:</w:t>
            </w:r>
          </w:p>
          <w:p w14:paraId="4B7BF1B3" w14:textId="54CAE634" w:rsidR="00817793" w:rsidRDefault="002719FC">
            <w:pPr>
              <w:spacing w:before="120" w:after="120" w:line="240" w:lineRule="auto"/>
              <w:jc w:val="center"/>
            </w:pPr>
            <w:r>
              <w:t>-</w:t>
            </w:r>
            <w:r w:rsidR="00B40BD2">
              <w:t xml:space="preserve"> </w:t>
            </w:r>
            <w:r>
              <w:t>Eventos adversos sérios</w:t>
            </w:r>
          </w:p>
          <w:p w14:paraId="55D4B0E6" w14:textId="77777777" w:rsidR="00817793" w:rsidRDefault="002719FC">
            <w:pPr>
              <w:spacing w:before="120" w:after="120" w:line="240" w:lineRule="auto"/>
              <w:jc w:val="center"/>
            </w:pPr>
            <w:r>
              <w:t>Análise adicional de eficácia e segurança em pacientes com</w:t>
            </w:r>
          </w:p>
          <w:p w14:paraId="76611682" w14:textId="77777777" w:rsidR="00817793" w:rsidRDefault="002719FC">
            <w:pPr>
              <w:spacing w:before="120" w:after="120" w:line="240" w:lineRule="auto"/>
              <w:jc w:val="center"/>
            </w:pPr>
            <w:r>
              <w:t>SLEDAI-2K ≥10</w:t>
            </w:r>
          </w:p>
        </w:tc>
        <w:tc>
          <w:tcPr>
            <w:tcW w:w="3705" w:type="dxa"/>
          </w:tcPr>
          <w:p w14:paraId="616DB551" w14:textId="77777777" w:rsidR="00B40BD2" w:rsidRPr="00822F3E" w:rsidRDefault="00B40BD2" w:rsidP="00B40BD2">
            <w:pPr>
              <w:spacing w:before="120" w:after="120" w:line="240" w:lineRule="auto"/>
              <w:jc w:val="center"/>
              <w:rPr>
                <w:u w:val="single"/>
              </w:rPr>
            </w:pPr>
            <w:r w:rsidRPr="00822F3E">
              <w:rPr>
                <w:u w:val="single"/>
              </w:rPr>
              <w:t>Desfecho Primário:</w:t>
            </w:r>
          </w:p>
          <w:p w14:paraId="48D1DDE2" w14:textId="77777777" w:rsidR="00B40BD2" w:rsidRPr="00822F3E" w:rsidRDefault="00B40BD2" w:rsidP="00B40BD2">
            <w:pPr>
              <w:pStyle w:val="PargrafodaLista"/>
              <w:numPr>
                <w:ilvl w:val="0"/>
                <w:numId w:val="23"/>
              </w:numPr>
              <w:spacing w:before="0" w:after="0" w:line="240" w:lineRule="auto"/>
              <w:jc w:val="center"/>
            </w:pPr>
            <w:r w:rsidRPr="00822F3E">
              <w:t>Resposta ao tratamento (BICLA)</w:t>
            </w:r>
          </w:p>
          <w:p w14:paraId="363A11CD" w14:textId="77777777" w:rsidR="00B40BD2" w:rsidRPr="00822F3E" w:rsidRDefault="00B40BD2" w:rsidP="00B40BD2">
            <w:pPr>
              <w:pStyle w:val="PargrafodaLista"/>
              <w:numPr>
                <w:ilvl w:val="0"/>
                <w:numId w:val="23"/>
              </w:numPr>
              <w:spacing w:before="0" w:after="0" w:line="240" w:lineRule="auto"/>
              <w:jc w:val="center"/>
            </w:pPr>
            <w:r w:rsidRPr="00822F3E">
              <w:t xml:space="preserve">Redução na atividade da doença </w:t>
            </w:r>
            <w:proofErr w:type="gramStart"/>
            <w:r w:rsidRPr="00822F3E">
              <w:t>do</w:t>
            </w:r>
            <w:r>
              <w:t xml:space="preserve"> </w:t>
            </w:r>
            <w:r w:rsidRPr="00822F3E">
              <w:t>lúpus</w:t>
            </w:r>
            <w:proofErr w:type="gramEnd"/>
            <w:r w:rsidRPr="00822F3E">
              <w:t xml:space="preserve"> (LLDAS)</w:t>
            </w:r>
          </w:p>
          <w:p w14:paraId="6CC9B21F" w14:textId="7131F53D" w:rsidR="00B40BD2" w:rsidRPr="00822F3E" w:rsidRDefault="00B40BD2" w:rsidP="00B40BD2">
            <w:pPr>
              <w:pStyle w:val="PargrafodaLista"/>
              <w:numPr>
                <w:ilvl w:val="0"/>
                <w:numId w:val="23"/>
              </w:numPr>
              <w:spacing w:before="0" w:after="0" w:line="240" w:lineRule="auto"/>
              <w:jc w:val="center"/>
            </w:pPr>
            <w:r w:rsidRPr="00822F3E">
              <w:t>Atividade da doença (</w:t>
            </w:r>
            <w:r w:rsidRPr="00B40BD2">
              <w:rPr>
                <w:i/>
                <w:iCs/>
              </w:rPr>
              <w:t xml:space="preserve">SLE </w:t>
            </w:r>
            <w:proofErr w:type="spellStart"/>
            <w:r w:rsidRPr="00B40BD2">
              <w:rPr>
                <w:i/>
                <w:iCs/>
              </w:rPr>
              <w:t>Disease</w:t>
            </w:r>
            <w:proofErr w:type="spellEnd"/>
            <w:r w:rsidRPr="00B40BD2">
              <w:rPr>
                <w:i/>
                <w:iCs/>
              </w:rPr>
              <w:t xml:space="preserve"> </w:t>
            </w:r>
            <w:proofErr w:type="spellStart"/>
            <w:r w:rsidRPr="00B40BD2">
              <w:rPr>
                <w:i/>
                <w:iCs/>
              </w:rPr>
              <w:t>Activity</w:t>
            </w:r>
            <w:proofErr w:type="spellEnd"/>
            <w:r w:rsidRPr="00B40BD2">
              <w:rPr>
                <w:i/>
                <w:iCs/>
              </w:rPr>
              <w:t xml:space="preserve"> Index</w:t>
            </w:r>
            <w:r w:rsidRPr="00822F3E">
              <w:t xml:space="preserve"> </w:t>
            </w:r>
            <w:r>
              <w:t xml:space="preserve">- </w:t>
            </w:r>
            <w:r w:rsidRPr="00822F3E">
              <w:t>SLEDAI)</w:t>
            </w:r>
          </w:p>
          <w:p w14:paraId="10C34880" w14:textId="77777777" w:rsidR="00B40BD2" w:rsidRPr="00822F3E" w:rsidRDefault="00B40BD2" w:rsidP="00B40BD2">
            <w:pPr>
              <w:pStyle w:val="PargrafodaLista"/>
              <w:numPr>
                <w:ilvl w:val="0"/>
                <w:numId w:val="23"/>
              </w:numPr>
              <w:spacing w:before="0" w:after="0" w:line="240" w:lineRule="auto"/>
              <w:jc w:val="center"/>
            </w:pPr>
            <w:r w:rsidRPr="00822F3E">
              <w:t xml:space="preserve">Atividade da doença pelo índice </w:t>
            </w:r>
            <w:r w:rsidRPr="00B40BD2">
              <w:rPr>
                <w:i/>
                <w:iCs/>
              </w:rPr>
              <w:t>SLE Responder Index</w:t>
            </w:r>
            <w:r w:rsidRPr="00822F3E">
              <w:t>-4 (SRI-4))</w:t>
            </w:r>
          </w:p>
          <w:p w14:paraId="2EC10615" w14:textId="102EC1EB" w:rsidR="00B40BD2" w:rsidRPr="00822F3E" w:rsidRDefault="00B40BD2" w:rsidP="00B40BD2">
            <w:pPr>
              <w:pStyle w:val="PargrafodaLista"/>
              <w:numPr>
                <w:ilvl w:val="0"/>
                <w:numId w:val="23"/>
              </w:numPr>
              <w:spacing w:before="0" w:after="0" w:line="240" w:lineRule="auto"/>
              <w:jc w:val="center"/>
            </w:pPr>
            <w:r w:rsidRPr="00822F3E">
              <w:t>Prevenção do agravamento da doença (</w:t>
            </w:r>
            <w:r w:rsidRPr="00B40BD2">
              <w:rPr>
                <w:i/>
                <w:iCs/>
              </w:rPr>
              <w:t xml:space="preserve">British </w:t>
            </w:r>
            <w:proofErr w:type="spellStart"/>
            <w:r w:rsidRPr="00B40BD2">
              <w:rPr>
                <w:i/>
                <w:iCs/>
              </w:rPr>
              <w:t>Isles</w:t>
            </w:r>
            <w:proofErr w:type="spellEnd"/>
            <w:r w:rsidRPr="00B40BD2">
              <w:rPr>
                <w:i/>
                <w:iCs/>
              </w:rPr>
              <w:t xml:space="preserve"> </w:t>
            </w:r>
            <w:proofErr w:type="spellStart"/>
            <w:r w:rsidRPr="00B40BD2">
              <w:rPr>
                <w:i/>
                <w:iCs/>
              </w:rPr>
              <w:t>Lupus</w:t>
            </w:r>
            <w:proofErr w:type="spellEnd"/>
            <w:r w:rsidRPr="00B40BD2">
              <w:rPr>
                <w:i/>
                <w:iCs/>
              </w:rPr>
              <w:t xml:space="preserve"> Assessment </w:t>
            </w:r>
            <w:proofErr w:type="spellStart"/>
            <w:r w:rsidRPr="00B40BD2">
              <w:rPr>
                <w:i/>
                <w:iCs/>
              </w:rPr>
              <w:t>Group</w:t>
            </w:r>
            <w:proofErr w:type="spellEnd"/>
            <w:r w:rsidRPr="00822F3E">
              <w:t xml:space="preserve"> </w:t>
            </w:r>
            <w:r>
              <w:t xml:space="preserve">- </w:t>
            </w:r>
            <w:r w:rsidRPr="00822F3E">
              <w:t>BILAG)</w:t>
            </w:r>
          </w:p>
          <w:p w14:paraId="3E131438" w14:textId="77777777" w:rsidR="00B40BD2" w:rsidRPr="00822F3E" w:rsidRDefault="00B40BD2" w:rsidP="00B40BD2">
            <w:pPr>
              <w:pStyle w:val="PargrafodaLista"/>
              <w:numPr>
                <w:ilvl w:val="0"/>
                <w:numId w:val="23"/>
              </w:numPr>
              <w:spacing w:before="0" w:after="0" w:line="240" w:lineRule="auto"/>
              <w:jc w:val="center"/>
            </w:pPr>
            <w:r w:rsidRPr="00822F3E">
              <w:t>Eventos adversos sérios</w:t>
            </w:r>
          </w:p>
          <w:p w14:paraId="7CFB71D8" w14:textId="77777777" w:rsidR="00B40BD2" w:rsidRDefault="00B40BD2" w:rsidP="00B40BD2">
            <w:pPr>
              <w:spacing w:before="120" w:after="120" w:line="240" w:lineRule="auto"/>
              <w:jc w:val="center"/>
              <w:rPr>
                <w:u w:val="single"/>
              </w:rPr>
            </w:pPr>
            <w:r>
              <w:rPr>
                <w:u w:val="single"/>
              </w:rPr>
              <w:t>Desfechos Secundários:</w:t>
            </w:r>
          </w:p>
          <w:p w14:paraId="554B72F0" w14:textId="77777777" w:rsidR="00B40BD2" w:rsidRDefault="00B40BD2" w:rsidP="00B40BD2">
            <w:pPr>
              <w:pStyle w:val="PargrafodaLista"/>
              <w:numPr>
                <w:ilvl w:val="0"/>
                <w:numId w:val="24"/>
              </w:numPr>
              <w:spacing w:before="0" w:after="0" w:line="240" w:lineRule="auto"/>
              <w:jc w:val="center"/>
            </w:pPr>
            <w:r>
              <w:t>Qualidade de vida (SF)-36</w:t>
            </w:r>
          </w:p>
          <w:p w14:paraId="4A854A9C" w14:textId="77777777" w:rsidR="00B40BD2" w:rsidRDefault="00B40BD2" w:rsidP="00B40BD2">
            <w:pPr>
              <w:pStyle w:val="PargrafodaLista"/>
              <w:numPr>
                <w:ilvl w:val="0"/>
                <w:numId w:val="24"/>
              </w:numPr>
              <w:spacing w:before="0" w:after="0" w:line="240" w:lineRule="auto"/>
              <w:jc w:val="center"/>
            </w:pPr>
            <w:r>
              <w:t xml:space="preserve">Redução na dose de </w:t>
            </w:r>
            <w:proofErr w:type="spellStart"/>
            <w:r>
              <w:t>corticosteróides</w:t>
            </w:r>
            <w:proofErr w:type="spellEnd"/>
          </w:p>
          <w:p w14:paraId="0FB35D71" w14:textId="77777777" w:rsidR="00B40BD2" w:rsidRDefault="00B40BD2" w:rsidP="00B40BD2">
            <w:pPr>
              <w:pStyle w:val="PargrafodaLista"/>
              <w:numPr>
                <w:ilvl w:val="0"/>
                <w:numId w:val="24"/>
              </w:numPr>
              <w:spacing w:before="0" w:after="0" w:line="240" w:lineRule="auto"/>
              <w:jc w:val="center"/>
            </w:pPr>
            <w:r>
              <w:t xml:space="preserve">Resposta ao tratamento (proteinúria &lt; 0,25 g em 24 h; sistema de índice BILAG de C, pontuação SLEDAI </w:t>
            </w:r>
            <w:r>
              <w:rPr>
                <w:rFonts w:ascii="Cambria Math" w:hAnsi="Cambria Math" w:cs="Cambria Math"/>
              </w:rPr>
              <w:t>⩽</w:t>
            </w:r>
            <w:r>
              <w:t>2 ou 3)</w:t>
            </w:r>
          </w:p>
          <w:p w14:paraId="68B098E5" w14:textId="4A556CA1" w:rsidR="00817793" w:rsidRDefault="00B40BD2" w:rsidP="00B40BD2">
            <w:pPr>
              <w:pStyle w:val="PargrafodaLista"/>
              <w:numPr>
                <w:ilvl w:val="0"/>
                <w:numId w:val="24"/>
              </w:numPr>
              <w:spacing w:before="0" w:after="0" w:line="240" w:lineRule="auto"/>
              <w:jc w:val="center"/>
            </w:pPr>
            <w:r>
              <w:t>Redução na atividade cutânea da doença (CLASI)</w:t>
            </w:r>
          </w:p>
        </w:tc>
      </w:tr>
      <w:tr w:rsidR="00817793" w14:paraId="735D27EB" w14:textId="77777777">
        <w:trPr>
          <w:trHeight w:val="454"/>
          <w:jc w:val="center"/>
        </w:trPr>
        <w:tc>
          <w:tcPr>
            <w:tcW w:w="1702" w:type="dxa"/>
            <w:shd w:val="clear" w:color="auto" w:fill="auto"/>
          </w:tcPr>
          <w:p w14:paraId="65BB6F5C" w14:textId="77777777" w:rsidR="00817793" w:rsidRDefault="002719FC">
            <w:pPr>
              <w:spacing w:before="120" w:after="120" w:line="240" w:lineRule="auto"/>
              <w:jc w:val="center"/>
              <w:rPr>
                <w:b/>
              </w:rPr>
            </w:pPr>
            <w:r>
              <w:rPr>
                <w:b/>
              </w:rPr>
              <w:lastRenderedPageBreak/>
              <w:t>Tipo de estudo</w:t>
            </w:r>
          </w:p>
        </w:tc>
        <w:tc>
          <w:tcPr>
            <w:tcW w:w="3685" w:type="dxa"/>
            <w:shd w:val="clear" w:color="auto" w:fill="auto"/>
          </w:tcPr>
          <w:p w14:paraId="489FFF18" w14:textId="77777777" w:rsidR="00817793" w:rsidRDefault="002719FC">
            <w:pPr>
              <w:spacing w:before="120" w:after="120" w:line="240" w:lineRule="auto"/>
              <w:jc w:val="center"/>
            </w:pPr>
            <w:r>
              <w:t>Ensaios clínicos randomizados</w:t>
            </w:r>
          </w:p>
          <w:p w14:paraId="0B4A02C9" w14:textId="77777777" w:rsidR="00817793" w:rsidRDefault="002719FC">
            <w:pPr>
              <w:spacing w:before="120" w:after="120" w:line="240" w:lineRule="auto"/>
              <w:jc w:val="center"/>
            </w:pPr>
            <w:r>
              <w:t>Revisão sistemática de ensaios clínicos randomizados</w:t>
            </w:r>
          </w:p>
        </w:tc>
        <w:tc>
          <w:tcPr>
            <w:tcW w:w="3705" w:type="dxa"/>
          </w:tcPr>
          <w:p w14:paraId="59C7F9FB" w14:textId="77777777" w:rsidR="00B40BD2" w:rsidRDefault="002719FC">
            <w:pPr>
              <w:spacing w:before="120" w:after="120" w:line="240" w:lineRule="auto"/>
              <w:jc w:val="center"/>
            </w:pPr>
            <w:r>
              <w:t>-</w:t>
            </w:r>
            <w:r w:rsidR="00B40BD2">
              <w:t xml:space="preserve"> </w:t>
            </w:r>
            <w:r>
              <w:t xml:space="preserve">Revisões sistemáticas com ou sem meta-análise que incluam ensaios clínicos randomizados (ECR) fase III; </w:t>
            </w:r>
          </w:p>
          <w:p w14:paraId="4C3D0B44" w14:textId="7C36B4EE" w:rsidR="00817793" w:rsidRDefault="002719FC">
            <w:pPr>
              <w:spacing w:before="120" w:after="120" w:line="240" w:lineRule="auto"/>
              <w:jc w:val="center"/>
            </w:pPr>
            <w:r>
              <w:t xml:space="preserve">-Estudos primários: </w:t>
            </w:r>
            <w:proofErr w:type="spellStart"/>
            <w:r>
              <w:t>ECRs</w:t>
            </w:r>
            <w:proofErr w:type="spellEnd"/>
            <w:r>
              <w:t xml:space="preserve"> de fase III. </w:t>
            </w:r>
          </w:p>
          <w:p w14:paraId="6FE73CCA" w14:textId="77777777" w:rsidR="00817793" w:rsidRDefault="002719FC">
            <w:pPr>
              <w:spacing w:before="120" w:after="120" w:line="240" w:lineRule="auto"/>
              <w:jc w:val="center"/>
            </w:pPr>
            <w:r>
              <w:t>Na ausência de estudos com delineamentos citados acima, poderão ser incluídos estudos observacionais comparados bem delineados e com seguimento mínimo de um ano, bem como revisões sistemáticas que incluam estudos observacionais comparativos que apresentem o comparador e desfechos de interesse.</w:t>
            </w:r>
          </w:p>
        </w:tc>
      </w:tr>
    </w:tbl>
    <w:p w14:paraId="4F904CB7" w14:textId="77777777" w:rsidR="00817793" w:rsidRDefault="00817793">
      <w:pPr>
        <w:rPr>
          <w:smallCaps/>
          <w:highlight w:val="cyan"/>
        </w:rPr>
      </w:pPr>
    </w:p>
    <w:tbl>
      <w:tblPr>
        <w:tblW w:w="914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142"/>
      </w:tblGrid>
      <w:tr w:rsidR="00817793" w14:paraId="240E5FC7" w14:textId="77777777">
        <w:trPr>
          <w:trHeight w:val="750"/>
        </w:trPr>
        <w:tc>
          <w:tcPr>
            <w:tcW w:w="9142" w:type="dxa"/>
            <w:shd w:val="clear" w:color="auto" w:fill="D9E2F3"/>
            <w:vAlign w:val="center"/>
          </w:tcPr>
          <w:p w14:paraId="0C6C4E44" w14:textId="77777777" w:rsidR="00817793" w:rsidRDefault="002719FC">
            <w:pPr>
              <w:spacing w:before="120" w:after="120" w:line="240" w:lineRule="auto"/>
              <w:jc w:val="center"/>
              <w:rPr>
                <w:b/>
              </w:rPr>
            </w:pPr>
            <w:r>
              <w:rPr>
                <w:b/>
              </w:rPr>
              <w:t>Comentários gerais sobre adequação da pergunta estruturada considerando a definição dos componentes do acrônimo PICO</w:t>
            </w:r>
          </w:p>
        </w:tc>
      </w:tr>
      <w:tr w:rsidR="00817793" w14:paraId="02D01264" w14:textId="77777777">
        <w:trPr>
          <w:trHeight w:val="750"/>
        </w:trPr>
        <w:tc>
          <w:tcPr>
            <w:tcW w:w="9142" w:type="dxa"/>
            <w:vAlign w:val="center"/>
          </w:tcPr>
          <w:p w14:paraId="629769FB" w14:textId="77777777" w:rsidR="00817793" w:rsidRDefault="002719FC">
            <w:pPr>
              <w:spacing w:before="120" w:after="120" w:line="240" w:lineRule="auto"/>
            </w:pPr>
            <w:r>
              <w:t>Análise do Dossiê Clínico: Observações e Sugestões</w:t>
            </w:r>
          </w:p>
          <w:p w14:paraId="6C9B285C" w14:textId="77777777" w:rsidR="00817793" w:rsidRDefault="002719FC">
            <w:pPr>
              <w:spacing w:before="120" w:after="120" w:line="240" w:lineRule="auto"/>
            </w:pPr>
            <w:r>
              <w:t>Após uma revisão do dossiê clínico apresentado pelo PROPONENTE, foram identificadas oportunidades de aprimoramento que podem enriquecer a qualidade e a abrangência do estudo. As seguintes observações e sugestões são apresentadas:</w:t>
            </w:r>
          </w:p>
          <w:p w14:paraId="06971CD3" w14:textId="77777777" w:rsidR="00817793" w:rsidRDefault="00817793">
            <w:pPr>
              <w:spacing w:before="120" w:after="120" w:line="240" w:lineRule="auto"/>
            </w:pPr>
          </w:p>
          <w:p w14:paraId="2CCF8827" w14:textId="77777777" w:rsidR="00817793" w:rsidRDefault="002719FC">
            <w:pPr>
              <w:spacing w:before="120" w:after="120" w:line="240" w:lineRule="auto"/>
            </w:pPr>
            <w:r>
              <w:rPr>
                <w:u w:val="single"/>
              </w:rPr>
              <w:t>População:</w:t>
            </w:r>
            <w:r w:rsidRPr="00B40BD2">
              <w:t xml:space="preserve"> </w:t>
            </w:r>
            <w:r>
              <w:t>O proponente não menciona a atividade da doença e a falha na terapia. Conforme indicado no fluxograma apresentado na página 14, os pareceristas incluíram essas informações na descrição da população, de forma que fique compatível com a DUT e os estudos econômicos submetidos.</w:t>
            </w:r>
          </w:p>
          <w:p w14:paraId="0B4020A7" w14:textId="77777777" w:rsidR="00817793" w:rsidRDefault="00817793">
            <w:pPr>
              <w:spacing w:before="120" w:after="120" w:line="240" w:lineRule="auto"/>
            </w:pPr>
          </w:p>
          <w:p w14:paraId="67B3E8C1" w14:textId="77777777" w:rsidR="00817793" w:rsidRDefault="002719FC">
            <w:pPr>
              <w:spacing w:before="120" w:after="120" w:line="240" w:lineRule="auto"/>
            </w:pPr>
            <w:r>
              <w:rPr>
                <w:u w:val="single"/>
              </w:rPr>
              <w:t>Intervenção e comparador:</w:t>
            </w:r>
            <w:r w:rsidRPr="00B40BD2">
              <w:t xml:space="preserve"> </w:t>
            </w:r>
            <w:r>
              <w:t xml:space="preserve">O proponente não especificou a terapia padrão utilizada. Os pareceristas detalharam a terapia tripla recomendada de acordo com o PCDT do Ministério da </w:t>
            </w:r>
            <w:proofErr w:type="gramStart"/>
            <w:r>
              <w:t>Saúde ,</w:t>
            </w:r>
            <w:proofErr w:type="gramEnd"/>
            <w:r>
              <w:t xml:space="preserve"> mencionando na intervenção a adição do </w:t>
            </w:r>
            <w:proofErr w:type="spellStart"/>
            <w:r>
              <w:t>anifrolumabe</w:t>
            </w:r>
            <w:proofErr w:type="spellEnd"/>
            <w:r>
              <w:t xml:space="preserve"> em casos de falha terapêutica, bem como no grupo comparador.</w:t>
            </w:r>
          </w:p>
          <w:p w14:paraId="03EFCA41" w14:textId="77777777" w:rsidR="00817793" w:rsidRDefault="00817793">
            <w:pPr>
              <w:spacing w:before="120" w:after="120" w:line="240" w:lineRule="auto"/>
            </w:pPr>
          </w:p>
          <w:p w14:paraId="1E622B68" w14:textId="77777777" w:rsidR="00817793" w:rsidRDefault="002719FC">
            <w:pPr>
              <w:spacing w:before="120" w:after="120" w:line="240" w:lineRule="auto"/>
            </w:pPr>
            <w:r>
              <w:rPr>
                <w:u w:val="single"/>
              </w:rPr>
              <w:t>Desfechos:</w:t>
            </w:r>
            <w:r>
              <w:t xml:space="preserve"> O proponente não especificou os desfechos primários e secundários. Os pareceristas categorizaram os desfechos em primários e secundários, conforme preconizado na diretriz de elaboração de Parecer Técnico Científico (PTC) do Ministério da Saúde. Além disso, foram consultados os desfechos ideais a serem mensurados nos estudos para esta população no banco de dados COMET </w:t>
            </w:r>
            <w:proofErr w:type="spellStart"/>
            <w:r>
              <w:t>Outcomes</w:t>
            </w:r>
            <w:proofErr w:type="spellEnd"/>
            <w:r>
              <w:t>.</w:t>
            </w:r>
          </w:p>
        </w:tc>
      </w:tr>
    </w:tbl>
    <w:p w14:paraId="5BB44749" w14:textId="77777777" w:rsidR="00817793" w:rsidRDefault="002719FC">
      <w:pPr>
        <w:pStyle w:val="Ttulo2"/>
      </w:pPr>
      <w:bookmarkStart w:id="16" w:name="_3b38nhq9618h" w:colFirst="0" w:colLast="0"/>
      <w:bookmarkStart w:id="17" w:name="_2jxsxqh" w:colFirst="0" w:colLast="0"/>
      <w:bookmarkEnd w:id="16"/>
      <w:bookmarkEnd w:id="17"/>
      <w:r>
        <w:lastRenderedPageBreak/>
        <w:t>5.2. Critérios de elegibilidade</w:t>
      </w:r>
    </w:p>
    <w:p w14:paraId="76183F01" w14:textId="77777777" w:rsidR="00817793" w:rsidRDefault="002719FC">
      <w:r>
        <w:t xml:space="preserve">Com base na pergunta PICOS estruturada no item 5.1, o proponente adotou os critérios de elegibilidade descritos no </w:t>
      </w:r>
      <w:r>
        <w:rPr>
          <w:b/>
        </w:rPr>
        <w:t>Quadro 5</w:t>
      </w:r>
      <w:r>
        <w:t xml:space="preserve">. </w:t>
      </w:r>
    </w:p>
    <w:p w14:paraId="30584BA9" w14:textId="77777777" w:rsidR="00817793" w:rsidRDefault="002719FC">
      <w:pPr>
        <w:pStyle w:val="Ttulo4"/>
      </w:pPr>
      <w:bookmarkStart w:id="18" w:name="_87jjvwqbmdj9" w:colFirst="0" w:colLast="0"/>
      <w:bookmarkEnd w:id="18"/>
      <w:r>
        <w:rPr>
          <w:b/>
        </w:rPr>
        <w:t xml:space="preserve">Quadro 5. </w:t>
      </w:r>
      <w:r>
        <w:t>Critérios de elegibilidade (versão do PROPONENTE e do PARECERISTA)</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302"/>
        <w:gridCol w:w="3685"/>
        <w:gridCol w:w="4085"/>
      </w:tblGrid>
      <w:tr w:rsidR="00817793" w14:paraId="1FE55A2E" w14:textId="77777777">
        <w:trPr>
          <w:trHeight w:val="454"/>
          <w:jc w:val="center"/>
        </w:trPr>
        <w:tc>
          <w:tcPr>
            <w:tcW w:w="1302" w:type="dxa"/>
            <w:shd w:val="clear" w:color="auto" w:fill="D9E2F3"/>
          </w:tcPr>
          <w:p w14:paraId="6E9FAE02" w14:textId="77777777" w:rsidR="00817793" w:rsidRDefault="002719FC">
            <w:pPr>
              <w:tabs>
                <w:tab w:val="left" w:pos="2694"/>
              </w:tabs>
              <w:spacing w:before="120" w:after="120" w:line="240" w:lineRule="auto"/>
              <w:jc w:val="center"/>
              <w:rPr>
                <w:b/>
              </w:rPr>
            </w:pPr>
            <w:r>
              <w:rPr>
                <w:b/>
              </w:rPr>
              <w:t>Critérios</w:t>
            </w:r>
          </w:p>
        </w:tc>
        <w:tc>
          <w:tcPr>
            <w:tcW w:w="3685" w:type="dxa"/>
            <w:shd w:val="clear" w:color="auto" w:fill="D9E2F3"/>
          </w:tcPr>
          <w:p w14:paraId="5F37EF37" w14:textId="77777777" w:rsidR="00817793" w:rsidRDefault="002719FC">
            <w:pPr>
              <w:tabs>
                <w:tab w:val="left" w:pos="2694"/>
              </w:tabs>
              <w:spacing w:before="120" w:after="120" w:line="240" w:lineRule="auto"/>
              <w:jc w:val="center"/>
              <w:rPr>
                <w:b/>
              </w:rPr>
            </w:pPr>
            <w:r>
              <w:rPr>
                <w:b/>
              </w:rPr>
              <w:t>Proponente</w:t>
            </w:r>
          </w:p>
        </w:tc>
        <w:tc>
          <w:tcPr>
            <w:tcW w:w="4085" w:type="dxa"/>
            <w:shd w:val="clear" w:color="auto" w:fill="D9E2F3"/>
          </w:tcPr>
          <w:p w14:paraId="43074DFB" w14:textId="77777777" w:rsidR="00817793" w:rsidRDefault="002719FC">
            <w:pPr>
              <w:tabs>
                <w:tab w:val="left" w:pos="2694"/>
              </w:tabs>
              <w:spacing w:before="120" w:after="120" w:line="240" w:lineRule="auto"/>
              <w:jc w:val="center"/>
              <w:rPr>
                <w:b/>
              </w:rPr>
            </w:pPr>
            <w:r>
              <w:rPr>
                <w:b/>
              </w:rPr>
              <w:t>Parecerista</w:t>
            </w:r>
          </w:p>
        </w:tc>
      </w:tr>
      <w:tr w:rsidR="00817793" w14:paraId="2051D7D4" w14:textId="77777777">
        <w:trPr>
          <w:trHeight w:val="454"/>
          <w:jc w:val="center"/>
        </w:trPr>
        <w:tc>
          <w:tcPr>
            <w:tcW w:w="1302" w:type="dxa"/>
            <w:shd w:val="clear" w:color="auto" w:fill="auto"/>
          </w:tcPr>
          <w:p w14:paraId="690DEE60" w14:textId="77777777" w:rsidR="00817793" w:rsidRDefault="002719FC">
            <w:pPr>
              <w:tabs>
                <w:tab w:val="left" w:pos="2694"/>
              </w:tabs>
              <w:spacing w:before="120" w:after="120" w:line="240" w:lineRule="auto"/>
              <w:jc w:val="center"/>
              <w:rPr>
                <w:b/>
              </w:rPr>
            </w:pPr>
            <w:r>
              <w:rPr>
                <w:b/>
              </w:rPr>
              <w:t>Inclusão (PICOS)</w:t>
            </w:r>
          </w:p>
        </w:tc>
        <w:tc>
          <w:tcPr>
            <w:tcW w:w="3685" w:type="dxa"/>
            <w:shd w:val="clear" w:color="auto" w:fill="auto"/>
          </w:tcPr>
          <w:p w14:paraId="2C52803A" w14:textId="77777777" w:rsidR="00817793" w:rsidRDefault="002719FC">
            <w:pPr>
              <w:numPr>
                <w:ilvl w:val="0"/>
                <w:numId w:val="18"/>
              </w:numPr>
              <w:tabs>
                <w:tab w:val="left" w:pos="2694"/>
              </w:tabs>
              <w:spacing w:before="120" w:after="0" w:line="240" w:lineRule="auto"/>
            </w:pPr>
            <w:r>
              <w:t>População de pacientes com LES com atividade moderada a alta;</w:t>
            </w:r>
          </w:p>
          <w:p w14:paraId="55D47C64" w14:textId="77777777" w:rsidR="00817793" w:rsidRDefault="002719FC">
            <w:pPr>
              <w:numPr>
                <w:ilvl w:val="0"/>
                <w:numId w:val="18"/>
              </w:numPr>
              <w:tabs>
                <w:tab w:val="left" w:pos="2694"/>
              </w:tabs>
              <w:spacing w:before="0" w:after="0" w:line="240" w:lineRule="auto"/>
            </w:pPr>
            <w:r>
              <w:t>Estudo do tipo ensaio clínico randomizado ou revisão sistemática de ensaios clínicos randomizados;</w:t>
            </w:r>
          </w:p>
          <w:p w14:paraId="150250EA" w14:textId="77777777" w:rsidR="00817793" w:rsidRDefault="002719FC">
            <w:pPr>
              <w:numPr>
                <w:ilvl w:val="0"/>
                <w:numId w:val="18"/>
              </w:numPr>
              <w:tabs>
                <w:tab w:val="left" w:pos="2694"/>
              </w:tabs>
              <w:spacing w:before="0" w:after="120" w:line="240" w:lineRule="auto"/>
            </w:pPr>
            <w:r>
              <w:t>Relato de desfechos de eficácia (BICLA, LLDAS, CLASI ou redução de corticosteroides) ou segurança (eventos adversos sérios)</w:t>
            </w:r>
          </w:p>
        </w:tc>
        <w:tc>
          <w:tcPr>
            <w:tcW w:w="4085" w:type="dxa"/>
          </w:tcPr>
          <w:p w14:paraId="40CFA6C8" w14:textId="04D0767F" w:rsidR="00817793" w:rsidRDefault="002719FC">
            <w:pPr>
              <w:tabs>
                <w:tab w:val="left" w:pos="2694"/>
              </w:tabs>
              <w:spacing w:before="120" w:after="120" w:line="240" w:lineRule="auto"/>
            </w:pPr>
            <w:r>
              <w:t>Foram incluídos os estudos com delineamento elegível em forma de artigo completo que satisfizeram a pergunta PICO pormenorizada.</w:t>
            </w:r>
          </w:p>
        </w:tc>
      </w:tr>
      <w:tr w:rsidR="00817793" w14:paraId="0F989FDB" w14:textId="77777777">
        <w:trPr>
          <w:trHeight w:val="454"/>
          <w:jc w:val="center"/>
        </w:trPr>
        <w:tc>
          <w:tcPr>
            <w:tcW w:w="1302" w:type="dxa"/>
            <w:shd w:val="clear" w:color="auto" w:fill="auto"/>
          </w:tcPr>
          <w:p w14:paraId="0919438C" w14:textId="77777777" w:rsidR="00817793" w:rsidRDefault="002719FC">
            <w:pPr>
              <w:tabs>
                <w:tab w:val="left" w:pos="2694"/>
              </w:tabs>
              <w:spacing w:before="120" w:after="120" w:line="240" w:lineRule="auto"/>
              <w:jc w:val="center"/>
              <w:rPr>
                <w:b/>
              </w:rPr>
            </w:pPr>
            <w:r>
              <w:rPr>
                <w:b/>
              </w:rPr>
              <w:t>Exclusão (PICOS)</w:t>
            </w:r>
          </w:p>
        </w:tc>
        <w:tc>
          <w:tcPr>
            <w:tcW w:w="3685" w:type="dxa"/>
            <w:shd w:val="clear" w:color="auto" w:fill="auto"/>
          </w:tcPr>
          <w:p w14:paraId="4A13258C" w14:textId="77777777" w:rsidR="00817793" w:rsidRDefault="002719FC">
            <w:pPr>
              <w:numPr>
                <w:ilvl w:val="0"/>
                <w:numId w:val="22"/>
              </w:numPr>
              <w:tabs>
                <w:tab w:val="left" w:pos="2694"/>
              </w:tabs>
              <w:spacing w:before="120" w:after="0" w:line="240" w:lineRule="auto"/>
            </w:pPr>
            <w:r>
              <w:t>Registros de ensaios controlados em andamento;</w:t>
            </w:r>
          </w:p>
          <w:p w14:paraId="62A781FA" w14:textId="77777777" w:rsidR="00817793" w:rsidRDefault="002719FC">
            <w:pPr>
              <w:numPr>
                <w:ilvl w:val="0"/>
                <w:numId w:val="22"/>
              </w:numPr>
              <w:tabs>
                <w:tab w:val="left" w:pos="2694"/>
              </w:tabs>
              <w:spacing w:before="0" w:after="0" w:line="240" w:lineRule="auto"/>
            </w:pPr>
            <w:r>
              <w:t>Estudos com outras intervenções;</w:t>
            </w:r>
          </w:p>
          <w:p w14:paraId="402F8EE0" w14:textId="77777777" w:rsidR="00817793" w:rsidRDefault="002719FC">
            <w:pPr>
              <w:numPr>
                <w:ilvl w:val="0"/>
                <w:numId w:val="22"/>
              </w:numPr>
              <w:tabs>
                <w:tab w:val="left" w:pos="2694"/>
              </w:tabs>
              <w:spacing w:before="0" w:after="120" w:line="240" w:lineRule="auto"/>
            </w:pPr>
            <w:r>
              <w:t>Ensaios clínicos sem grupo comparador ou não randomizados.</w:t>
            </w:r>
          </w:p>
        </w:tc>
        <w:tc>
          <w:tcPr>
            <w:tcW w:w="4085" w:type="dxa"/>
          </w:tcPr>
          <w:p w14:paraId="35CB4598" w14:textId="08E82079" w:rsidR="00817793" w:rsidRDefault="002719FC">
            <w:pPr>
              <w:tabs>
                <w:tab w:val="left" w:pos="2694"/>
              </w:tabs>
              <w:spacing w:before="120" w:after="120" w:line="240" w:lineRule="auto"/>
            </w:pPr>
            <w:r>
              <w:t xml:space="preserve">Estudos primários ou </w:t>
            </w:r>
            <w:proofErr w:type="spellStart"/>
            <w:r w:rsidRPr="00154D02">
              <w:rPr>
                <w:i/>
                <w:iCs/>
              </w:rPr>
              <w:t>pos</w:t>
            </w:r>
            <w:proofErr w:type="spellEnd"/>
            <w:r w:rsidRPr="00154D02">
              <w:rPr>
                <w:i/>
                <w:iCs/>
              </w:rPr>
              <w:t>-hoc</w:t>
            </w:r>
            <w:r>
              <w:t xml:space="preserve"> com análises estatísticas incompletas ou sem avaliação dos desfechos de interesse da PICO ou para a população de interesse de forma individual, ou estudos com graves quebras de protocolo. </w:t>
            </w:r>
          </w:p>
        </w:tc>
      </w:tr>
      <w:tr w:rsidR="00817793" w14:paraId="30560420" w14:textId="77777777">
        <w:trPr>
          <w:trHeight w:val="454"/>
          <w:jc w:val="center"/>
        </w:trPr>
        <w:tc>
          <w:tcPr>
            <w:tcW w:w="1302" w:type="dxa"/>
            <w:shd w:val="clear" w:color="auto" w:fill="auto"/>
          </w:tcPr>
          <w:p w14:paraId="0660E1B9" w14:textId="77777777" w:rsidR="00817793" w:rsidRDefault="002719FC">
            <w:pPr>
              <w:tabs>
                <w:tab w:val="left" w:pos="2694"/>
              </w:tabs>
              <w:spacing w:before="120" w:after="120" w:line="240" w:lineRule="auto"/>
              <w:jc w:val="center"/>
              <w:rPr>
                <w:b/>
              </w:rPr>
            </w:pPr>
            <w:r>
              <w:rPr>
                <w:b/>
              </w:rPr>
              <w:t>Outros critérios</w:t>
            </w:r>
          </w:p>
        </w:tc>
        <w:tc>
          <w:tcPr>
            <w:tcW w:w="3685" w:type="dxa"/>
            <w:shd w:val="clear" w:color="auto" w:fill="auto"/>
          </w:tcPr>
          <w:p w14:paraId="01ABD942" w14:textId="77777777" w:rsidR="00817793" w:rsidRDefault="002719FC">
            <w:pPr>
              <w:tabs>
                <w:tab w:val="left" w:pos="2694"/>
              </w:tabs>
              <w:spacing w:before="120" w:after="120" w:line="240" w:lineRule="auto"/>
              <w:jc w:val="center"/>
            </w:pPr>
            <w:r>
              <w:t>Não há outros critérios.</w:t>
            </w:r>
          </w:p>
        </w:tc>
        <w:tc>
          <w:tcPr>
            <w:tcW w:w="4085" w:type="dxa"/>
          </w:tcPr>
          <w:p w14:paraId="1CFF0A1A" w14:textId="77777777" w:rsidR="00817793" w:rsidRDefault="002719FC">
            <w:pPr>
              <w:tabs>
                <w:tab w:val="left" w:pos="2694"/>
              </w:tabs>
              <w:spacing w:before="120" w:after="120" w:line="240" w:lineRule="auto"/>
              <w:jc w:val="center"/>
            </w:pPr>
            <w:r>
              <w:t>Não há outros critérios.</w:t>
            </w:r>
          </w:p>
        </w:tc>
      </w:tr>
    </w:tbl>
    <w:p w14:paraId="2A1F701D" w14:textId="77777777" w:rsidR="00817793" w:rsidRDefault="00817793">
      <w:pPr>
        <w:rPr>
          <w:smallCaps/>
          <w:highlight w:val="cyan"/>
        </w:rPr>
      </w:pPr>
      <w:bookmarkStart w:id="19" w:name="_z337ya" w:colFirst="0" w:colLast="0"/>
      <w:bookmarkEnd w:id="19"/>
    </w:p>
    <w:tbl>
      <w:tblPr>
        <w:tblStyle w:val="a8"/>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79162681" w14:textId="77777777">
        <w:trPr>
          <w:trHeight w:val="416"/>
        </w:trPr>
        <w:tc>
          <w:tcPr>
            <w:tcW w:w="9072" w:type="dxa"/>
            <w:shd w:val="clear" w:color="auto" w:fill="D9E2F3"/>
            <w:vAlign w:val="center"/>
          </w:tcPr>
          <w:p w14:paraId="24B2F7F8" w14:textId="77777777" w:rsidR="00817793" w:rsidRDefault="002719FC">
            <w:pPr>
              <w:tabs>
                <w:tab w:val="left" w:pos="2694"/>
              </w:tabs>
              <w:spacing w:before="120" w:after="120" w:line="240" w:lineRule="auto"/>
              <w:jc w:val="center"/>
              <w:rPr>
                <w:b/>
              </w:rPr>
            </w:pPr>
            <w:r>
              <w:rPr>
                <w:b/>
              </w:rPr>
              <w:t>Comentários gerais sobre os critérios de elegibilidade</w:t>
            </w:r>
          </w:p>
        </w:tc>
      </w:tr>
      <w:tr w:rsidR="00817793" w14:paraId="7A5063FF" w14:textId="77777777">
        <w:trPr>
          <w:trHeight w:val="750"/>
        </w:trPr>
        <w:tc>
          <w:tcPr>
            <w:tcW w:w="9072" w:type="dxa"/>
            <w:vAlign w:val="center"/>
          </w:tcPr>
          <w:p w14:paraId="618422B3" w14:textId="77777777" w:rsidR="00817793" w:rsidRDefault="002719FC">
            <w:pPr>
              <w:tabs>
                <w:tab w:val="left" w:pos="2694"/>
              </w:tabs>
              <w:spacing w:before="120" w:after="120" w:line="240" w:lineRule="auto"/>
              <w:jc w:val="center"/>
              <w:rPr>
                <w:color w:val="FF0000"/>
              </w:rPr>
            </w:pPr>
            <w:r>
              <w:t>Nenhum comentário adicional.</w:t>
            </w:r>
          </w:p>
        </w:tc>
      </w:tr>
    </w:tbl>
    <w:p w14:paraId="5B95CD12" w14:textId="77777777" w:rsidR="00817793" w:rsidRDefault="002719FC">
      <w:pPr>
        <w:pStyle w:val="Ttulo2"/>
      </w:pPr>
      <w:bookmarkStart w:id="20" w:name="_9h464ugmtx7r" w:colFirst="0" w:colLast="0"/>
      <w:bookmarkEnd w:id="20"/>
      <w:r>
        <w:br w:type="page"/>
      </w:r>
    </w:p>
    <w:p w14:paraId="0003FCC3" w14:textId="77777777" w:rsidR="00817793" w:rsidRDefault="002719FC">
      <w:pPr>
        <w:pStyle w:val="Ttulo2"/>
      </w:pPr>
      <w:bookmarkStart w:id="21" w:name="_3j2qqm3" w:colFirst="0" w:colLast="0"/>
      <w:bookmarkEnd w:id="21"/>
      <w:r>
        <w:lastRenderedPageBreak/>
        <w:t>5.3. Busca por evidências</w:t>
      </w:r>
    </w:p>
    <w:p w14:paraId="663FE468" w14:textId="77777777" w:rsidR="004E7148" w:rsidRDefault="004E7148" w:rsidP="00D9167B">
      <w:pPr>
        <w:pStyle w:val="Ttulo4"/>
        <w:rPr>
          <w:b/>
        </w:rPr>
      </w:pPr>
      <w:bookmarkStart w:id="22" w:name="_cdfnwonx9r4j" w:colFirst="0" w:colLast="0"/>
      <w:bookmarkEnd w:id="22"/>
    </w:p>
    <w:p w14:paraId="660936E3" w14:textId="477B74E2" w:rsidR="00D9167B" w:rsidRDefault="00D9167B" w:rsidP="00D9167B">
      <w:pPr>
        <w:pStyle w:val="Ttulo4"/>
      </w:pPr>
      <w:r>
        <w:rPr>
          <w:b/>
        </w:rPr>
        <w:t>Quadro 6.</w:t>
      </w:r>
      <w:r>
        <w:t xml:space="preserve"> Estratégias de busca em bases eletrônicas (versão do PROPONENTE e do PARECERISTA)</w:t>
      </w:r>
    </w:p>
    <w:tbl>
      <w:tblPr>
        <w:tblStyle w:val="a9"/>
        <w:tblW w:w="907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5386"/>
        <w:gridCol w:w="2126"/>
      </w:tblGrid>
      <w:tr w:rsidR="00D9167B" w14:paraId="53140A53" w14:textId="77777777" w:rsidTr="004E7148">
        <w:trPr>
          <w:trHeight w:val="454"/>
        </w:trPr>
        <w:tc>
          <w:tcPr>
            <w:tcW w:w="1560" w:type="dxa"/>
            <w:shd w:val="clear" w:color="auto" w:fill="D9E2F3"/>
          </w:tcPr>
          <w:p w14:paraId="562F97F3" w14:textId="77777777" w:rsidR="00D9167B" w:rsidRDefault="00D9167B" w:rsidP="004E7148">
            <w:pPr>
              <w:spacing w:before="120" w:after="120" w:line="240" w:lineRule="auto"/>
              <w:jc w:val="center"/>
              <w:rPr>
                <w:b/>
              </w:rPr>
            </w:pPr>
            <w:r>
              <w:rPr>
                <w:b/>
              </w:rPr>
              <w:t>Base de dados</w:t>
            </w:r>
          </w:p>
        </w:tc>
        <w:tc>
          <w:tcPr>
            <w:tcW w:w="5386" w:type="dxa"/>
            <w:shd w:val="clear" w:color="auto" w:fill="D9E2F3"/>
          </w:tcPr>
          <w:p w14:paraId="7AE5191E" w14:textId="77777777" w:rsidR="00D9167B" w:rsidRDefault="00D9167B" w:rsidP="004E7148">
            <w:pPr>
              <w:spacing w:before="120" w:after="120" w:line="240" w:lineRule="auto"/>
              <w:jc w:val="center"/>
              <w:rPr>
                <w:b/>
              </w:rPr>
            </w:pPr>
            <w:r>
              <w:rPr>
                <w:b/>
              </w:rPr>
              <w:t>Estratégia</w:t>
            </w:r>
          </w:p>
        </w:tc>
        <w:tc>
          <w:tcPr>
            <w:tcW w:w="2126" w:type="dxa"/>
            <w:shd w:val="clear" w:color="auto" w:fill="D9E2F3"/>
          </w:tcPr>
          <w:p w14:paraId="42019DEB" w14:textId="77777777" w:rsidR="00D9167B" w:rsidRDefault="00D9167B" w:rsidP="004E7148">
            <w:pPr>
              <w:spacing w:before="120" w:after="120" w:line="240" w:lineRule="auto"/>
              <w:jc w:val="center"/>
              <w:rPr>
                <w:b/>
              </w:rPr>
            </w:pPr>
            <w:r>
              <w:rPr>
                <w:b/>
              </w:rPr>
              <w:t>Resultados</w:t>
            </w:r>
          </w:p>
        </w:tc>
      </w:tr>
      <w:tr w:rsidR="00D9167B" w14:paraId="7ED7148E" w14:textId="77777777" w:rsidTr="004E7148">
        <w:trPr>
          <w:trHeight w:val="454"/>
        </w:trPr>
        <w:tc>
          <w:tcPr>
            <w:tcW w:w="1560" w:type="dxa"/>
            <w:vMerge w:val="restart"/>
            <w:shd w:val="clear" w:color="auto" w:fill="auto"/>
          </w:tcPr>
          <w:p w14:paraId="42DCF6B5" w14:textId="77777777" w:rsidR="00D9167B" w:rsidRDefault="00D9167B" w:rsidP="004E7148">
            <w:pPr>
              <w:spacing w:before="120" w:after="120" w:line="240" w:lineRule="auto"/>
              <w:jc w:val="center"/>
              <w:rPr>
                <w:b/>
              </w:rPr>
            </w:pPr>
            <w:r>
              <w:rPr>
                <w:b/>
              </w:rPr>
              <w:t>MEDLINE</w:t>
            </w:r>
          </w:p>
        </w:tc>
        <w:tc>
          <w:tcPr>
            <w:tcW w:w="5386" w:type="dxa"/>
            <w:shd w:val="clear" w:color="auto" w:fill="auto"/>
          </w:tcPr>
          <w:p w14:paraId="31F14E74" w14:textId="77777777" w:rsidR="00D9167B" w:rsidRDefault="00D9167B" w:rsidP="004E7148">
            <w:pPr>
              <w:spacing w:before="120" w:after="120" w:line="240" w:lineRule="auto"/>
              <w:jc w:val="center"/>
              <w:rPr>
                <w:b/>
              </w:rPr>
            </w:pPr>
            <w:r>
              <w:rPr>
                <w:b/>
              </w:rPr>
              <w:t>Proponente</w:t>
            </w:r>
          </w:p>
        </w:tc>
        <w:tc>
          <w:tcPr>
            <w:tcW w:w="2126" w:type="dxa"/>
            <w:vMerge w:val="restart"/>
          </w:tcPr>
          <w:p w14:paraId="115B83AC" w14:textId="77777777" w:rsidR="00D9167B" w:rsidRDefault="00D9167B" w:rsidP="004E7148">
            <w:pPr>
              <w:spacing w:before="120" w:after="120" w:line="240" w:lineRule="auto"/>
              <w:jc w:val="center"/>
            </w:pPr>
            <w:r>
              <w:t>156 [02/2024]</w:t>
            </w:r>
          </w:p>
        </w:tc>
      </w:tr>
      <w:tr w:rsidR="00D9167B" w14:paraId="7A315706" w14:textId="77777777" w:rsidTr="004E7148">
        <w:trPr>
          <w:trHeight w:val="454"/>
        </w:trPr>
        <w:tc>
          <w:tcPr>
            <w:tcW w:w="1560" w:type="dxa"/>
            <w:vMerge/>
            <w:shd w:val="clear" w:color="auto" w:fill="auto"/>
          </w:tcPr>
          <w:p w14:paraId="1C3C78D5" w14:textId="77777777" w:rsidR="00D9167B" w:rsidRDefault="00D9167B" w:rsidP="004E7148">
            <w:pPr>
              <w:widowControl w:val="0"/>
              <w:pBdr>
                <w:top w:val="nil"/>
                <w:left w:val="nil"/>
                <w:bottom w:val="nil"/>
                <w:right w:val="nil"/>
                <w:between w:val="nil"/>
              </w:pBdr>
              <w:spacing w:before="0" w:after="0" w:line="276" w:lineRule="auto"/>
              <w:jc w:val="left"/>
              <w:rPr>
                <w:highlight w:val="lightGray"/>
              </w:rPr>
            </w:pPr>
          </w:p>
        </w:tc>
        <w:tc>
          <w:tcPr>
            <w:tcW w:w="5386" w:type="dxa"/>
            <w:shd w:val="clear" w:color="auto" w:fill="auto"/>
          </w:tcPr>
          <w:p w14:paraId="56F456EC" w14:textId="77777777" w:rsidR="00D9167B" w:rsidRDefault="00D9167B" w:rsidP="004E7148">
            <w:pPr>
              <w:spacing w:before="120" w:after="120" w:line="240" w:lineRule="auto"/>
              <w:jc w:val="center"/>
            </w:pPr>
            <w:r>
              <w:t>AND ('</w:t>
            </w:r>
            <w:proofErr w:type="spellStart"/>
            <w:r>
              <w:t>anifrolumab</w:t>
            </w:r>
            <w:proofErr w:type="spellEnd"/>
            <w:r>
              <w:t>':</w:t>
            </w:r>
            <w:proofErr w:type="spellStart"/>
            <w:proofErr w:type="gramStart"/>
            <w:r>
              <w:t>ti,ab</w:t>
            </w:r>
            <w:proofErr w:type="spellEnd"/>
            <w:proofErr w:type="gramEnd"/>
            <w:r>
              <w:t xml:space="preserve"> OR '</w:t>
            </w:r>
            <w:proofErr w:type="spellStart"/>
            <w:r>
              <w:t>saphnelo</w:t>
            </w:r>
            <w:proofErr w:type="spellEnd"/>
            <w:r>
              <w:t>':</w:t>
            </w:r>
            <w:proofErr w:type="spellStart"/>
            <w:proofErr w:type="gramStart"/>
            <w:r>
              <w:t>ti,ab</w:t>
            </w:r>
            <w:proofErr w:type="spellEnd"/>
            <w:proofErr w:type="gramEnd"/>
            <w:r>
              <w:t xml:space="preserve"> OR 'MEDI-546':</w:t>
            </w:r>
            <w:proofErr w:type="gramStart"/>
            <w:r>
              <w:t>ti,ab</w:t>
            </w:r>
            <w:proofErr w:type="gramEnd"/>
            <w:r>
              <w:t>)</w:t>
            </w:r>
          </w:p>
        </w:tc>
        <w:tc>
          <w:tcPr>
            <w:tcW w:w="2126" w:type="dxa"/>
            <w:vMerge/>
          </w:tcPr>
          <w:p w14:paraId="76B789E0"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r>
      <w:tr w:rsidR="00D9167B" w14:paraId="52494FD5" w14:textId="77777777" w:rsidTr="004E7148">
        <w:trPr>
          <w:trHeight w:val="454"/>
        </w:trPr>
        <w:tc>
          <w:tcPr>
            <w:tcW w:w="1560" w:type="dxa"/>
            <w:vMerge/>
            <w:shd w:val="clear" w:color="auto" w:fill="auto"/>
          </w:tcPr>
          <w:p w14:paraId="51E47CBC"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c>
          <w:tcPr>
            <w:tcW w:w="5386" w:type="dxa"/>
            <w:shd w:val="clear" w:color="auto" w:fill="auto"/>
          </w:tcPr>
          <w:p w14:paraId="4592265E" w14:textId="77777777" w:rsidR="00D9167B" w:rsidRDefault="00D9167B" w:rsidP="004E7148">
            <w:pPr>
              <w:spacing w:before="120" w:after="120" w:line="240" w:lineRule="auto"/>
              <w:jc w:val="center"/>
              <w:rPr>
                <w:b/>
              </w:rPr>
            </w:pPr>
            <w:r>
              <w:rPr>
                <w:b/>
              </w:rPr>
              <w:t>Parecerista</w:t>
            </w:r>
          </w:p>
        </w:tc>
        <w:tc>
          <w:tcPr>
            <w:tcW w:w="2126" w:type="dxa"/>
            <w:vMerge w:val="restart"/>
          </w:tcPr>
          <w:p w14:paraId="12D6B779" w14:textId="77777777" w:rsidR="00D9167B" w:rsidRDefault="00D9167B" w:rsidP="004E7148">
            <w:pPr>
              <w:spacing w:before="120" w:after="120" w:line="240" w:lineRule="auto"/>
              <w:jc w:val="center"/>
            </w:pPr>
            <w:r>
              <w:t>256 [03/02/2025]</w:t>
            </w:r>
          </w:p>
        </w:tc>
      </w:tr>
      <w:tr w:rsidR="00D9167B" w14:paraId="2B5B11DA" w14:textId="77777777" w:rsidTr="004E7148">
        <w:trPr>
          <w:trHeight w:val="454"/>
        </w:trPr>
        <w:tc>
          <w:tcPr>
            <w:tcW w:w="1560" w:type="dxa"/>
            <w:vMerge/>
            <w:shd w:val="clear" w:color="auto" w:fill="auto"/>
          </w:tcPr>
          <w:p w14:paraId="61888507" w14:textId="77777777" w:rsidR="00D9167B" w:rsidRDefault="00D9167B" w:rsidP="004E7148">
            <w:pPr>
              <w:widowControl w:val="0"/>
              <w:pBdr>
                <w:top w:val="nil"/>
                <w:left w:val="nil"/>
                <w:bottom w:val="nil"/>
                <w:right w:val="nil"/>
                <w:between w:val="nil"/>
              </w:pBdr>
              <w:spacing w:before="0" w:after="0" w:line="276" w:lineRule="auto"/>
              <w:jc w:val="left"/>
              <w:rPr>
                <w:highlight w:val="lightGray"/>
              </w:rPr>
            </w:pPr>
          </w:p>
        </w:tc>
        <w:tc>
          <w:tcPr>
            <w:tcW w:w="5386" w:type="dxa"/>
            <w:shd w:val="clear" w:color="auto" w:fill="auto"/>
          </w:tcPr>
          <w:p w14:paraId="4D6457E6" w14:textId="77777777" w:rsidR="00D9167B" w:rsidRDefault="00D9167B" w:rsidP="004E7148">
            <w:pPr>
              <w:spacing w:before="120" w:after="120" w:line="240" w:lineRule="auto"/>
              <w:jc w:val="center"/>
            </w:pPr>
            <w:r>
              <w:t>("</w:t>
            </w:r>
            <w:proofErr w:type="spellStart"/>
            <w:r>
              <w:t>Lupus</w:t>
            </w:r>
            <w:proofErr w:type="spellEnd"/>
            <w:r>
              <w:t xml:space="preserve"> </w:t>
            </w:r>
            <w:proofErr w:type="spellStart"/>
            <w:r>
              <w:t>Erythematosus</w:t>
            </w:r>
            <w:proofErr w:type="spellEnd"/>
            <w:r>
              <w:t xml:space="preserve">, </w:t>
            </w:r>
            <w:proofErr w:type="spellStart"/>
            <w:r>
              <w:t>Systemic</w:t>
            </w:r>
            <w:proofErr w:type="spellEnd"/>
            <w:r>
              <w:t>"[</w:t>
            </w:r>
            <w:proofErr w:type="spellStart"/>
            <w:r>
              <w:t>MeSH</w:t>
            </w:r>
            <w:proofErr w:type="spellEnd"/>
            <w:r>
              <w:t>] 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OR SLE OR </w:t>
            </w:r>
            <w:proofErr w:type="spellStart"/>
            <w:r>
              <w:t>Lupus</w:t>
            </w:r>
            <w:proofErr w:type="spellEnd"/>
            <w:r>
              <w:t xml:space="preserve"> OR "Active </w:t>
            </w:r>
            <w:proofErr w:type="spellStart"/>
            <w:r>
              <w:t>Lupus</w:t>
            </w:r>
            <w:proofErr w:type="spellEnd"/>
            <w:r>
              <w:t>")</w:t>
            </w:r>
          </w:p>
          <w:p w14:paraId="1D8D0426" w14:textId="77777777" w:rsidR="00D9167B" w:rsidRDefault="00D9167B" w:rsidP="004E7148">
            <w:pPr>
              <w:spacing w:before="120" w:after="120" w:line="240" w:lineRule="auto"/>
              <w:jc w:val="center"/>
            </w:pPr>
            <w:r>
              <w:t>AND</w:t>
            </w:r>
          </w:p>
          <w:p w14:paraId="45E4E75E" w14:textId="77777777" w:rsidR="00D9167B" w:rsidRDefault="00D9167B" w:rsidP="004E7148">
            <w:pPr>
              <w:spacing w:before="120" w:after="120" w:line="240" w:lineRule="auto"/>
              <w:jc w:val="center"/>
            </w:pPr>
            <w:r>
              <w:t>("</w:t>
            </w:r>
            <w:proofErr w:type="spellStart"/>
            <w:r>
              <w:t>Anifrolumab</w:t>
            </w:r>
            <w:proofErr w:type="spellEnd"/>
            <w:r>
              <w:t xml:space="preserve">" OR </w:t>
            </w:r>
            <w:proofErr w:type="spellStart"/>
            <w:r>
              <w:t>OR</w:t>
            </w:r>
            <w:proofErr w:type="spellEnd"/>
            <w:r>
              <w:t xml:space="preserve"> "</w:t>
            </w:r>
            <w:proofErr w:type="spellStart"/>
            <w:r>
              <w:t>Anti-interferon</w:t>
            </w:r>
            <w:proofErr w:type="spellEnd"/>
            <w:r>
              <w:t xml:space="preserve"> alpha receptor </w:t>
            </w:r>
            <w:proofErr w:type="spellStart"/>
            <w:r>
              <w:t>antibody</w:t>
            </w:r>
            <w:proofErr w:type="spellEnd"/>
            <w:r>
              <w:t>" OR “</w:t>
            </w:r>
            <w:proofErr w:type="spellStart"/>
            <w:r>
              <w:t>saphnelo</w:t>
            </w:r>
            <w:proofErr w:type="spellEnd"/>
            <w:r>
              <w:t>” OR “MEDI-546”)</w:t>
            </w:r>
          </w:p>
        </w:tc>
        <w:tc>
          <w:tcPr>
            <w:tcW w:w="2126" w:type="dxa"/>
            <w:vMerge/>
          </w:tcPr>
          <w:p w14:paraId="798CD883"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r>
      <w:tr w:rsidR="00D9167B" w14:paraId="18A82D85" w14:textId="77777777" w:rsidTr="004E7148">
        <w:trPr>
          <w:trHeight w:val="454"/>
        </w:trPr>
        <w:tc>
          <w:tcPr>
            <w:tcW w:w="1560" w:type="dxa"/>
            <w:vMerge w:val="restart"/>
            <w:shd w:val="clear" w:color="auto" w:fill="auto"/>
          </w:tcPr>
          <w:p w14:paraId="5FC8A033" w14:textId="77777777" w:rsidR="00D9167B" w:rsidRDefault="00D9167B" w:rsidP="004E7148">
            <w:pPr>
              <w:spacing w:before="120" w:after="120" w:line="240" w:lineRule="auto"/>
              <w:jc w:val="center"/>
              <w:rPr>
                <w:b/>
              </w:rPr>
            </w:pPr>
            <w:r>
              <w:rPr>
                <w:b/>
              </w:rPr>
              <w:t>EMBASE</w:t>
            </w:r>
          </w:p>
        </w:tc>
        <w:tc>
          <w:tcPr>
            <w:tcW w:w="5386" w:type="dxa"/>
            <w:shd w:val="clear" w:color="auto" w:fill="auto"/>
          </w:tcPr>
          <w:p w14:paraId="2EB6B3B9" w14:textId="77777777" w:rsidR="00D9167B" w:rsidRDefault="00D9167B" w:rsidP="004E7148">
            <w:pPr>
              <w:spacing w:before="120" w:after="120" w:line="240" w:lineRule="auto"/>
              <w:jc w:val="center"/>
              <w:rPr>
                <w:b/>
              </w:rPr>
            </w:pPr>
            <w:r>
              <w:rPr>
                <w:b/>
              </w:rPr>
              <w:t>Proponente</w:t>
            </w:r>
          </w:p>
        </w:tc>
        <w:tc>
          <w:tcPr>
            <w:tcW w:w="2126" w:type="dxa"/>
            <w:vMerge w:val="restart"/>
          </w:tcPr>
          <w:p w14:paraId="321988F7" w14:textId="77777777" w:rsidR="00D9167B" w:rsidRDefault="00D9167B" w:rsidP="004E7148">
            <w:pPr>
              <w:spacing w:before="120" w:after="120" w:line="240" w:lineRule="auto"/>
              <w:jc w:val="center"/>
            </w:pPr>
            <w:r>
              <w:t>264 [02/2024]</w:t>
            </w:r>
          </w:p>
        </w:tc>
      </w:tr>
      <w:tr w:rsidR="00D9167B" w14:paraId="5144CB72" w14:textId="77777777" w:rsidTr="004E7148">
        <w:trPr>
          <w:trHeight w:val="454"/>
        </w:trPr>
        <w:tc>
          <w:tcPr>
            <w:tcW w:w="1560" w:type="dxa"/>
            <w:vMerge/>
            <w:shd w:val="clear" w:color="auto" w:fill="auto"/>
          </w:tcPr>
          <w:p w14:paraId="06E70D3A" w14:textId="77777777" w:rsidR="00D9167B" w:rsidRDefault="00D9167B" w:rsidP="004E7148">
            <w:pPr>
              <w:widowControl w:val="0"/>
              <w:pBdr>
                <w:top w:val="nil"/>
                <w:left w:val="nil"/>
                <w:bottom w:val="nil"/>
                <w:right w:val="nil"/>
                <w:between w:val="nil"/>
              </w:pBdr>
              <w:spacing w:before="0" w:after="0" w:line="276" w:lineRule="auto"/>
              <w:jc w:val="left"/>
              <w:rPr>
                <w:highlight w:val="lightGray"/>
              </w:rPr>
            </w:pPr>
          </w:p>
        </w:tc>
        <w:tc>
          <w:tcPr>
            <w:tcW w:w="5386" w:type="dxa"/>
            <w:shd w:val="clear" w:color="auto" w:fill="auto"/>
          </w:tcPr>
          <w:p w14:paraId="68F32F9A" w14:textId="77777777" w:rsidR="00D9167B" w:rsidRDefault="00D9167B" w:rsidP="004E7148">
            <w:pPr>
              <w:spacing w:before="120" w:after="120" w:line="240" w:lineRule="auto"/>
              <w:jc w:val="center"/>
            </w:pPr>
            <w:r>
              <w:t>('</w:t>
            </w:r>
            <w:proofErr w:type="spellStart"/>
            <w:r>
              <w:t>lupus</w:t>
            </w:r>
            <w:proofErr w:type="spellEnd"/>
            <w:r>
              <w:t xml:space="preserve"> </w:t>
            </w:r>
            <w:proofErr w:type="spellStart"/>
            <w:r>
              <w:t>erythematosus</w:t>
            </w:r>
            <w:proofErr w:type="spellEnd"/>
            <w:r>
              <w:t>'/</w:t>
            </w:r>
            <w:proofErr w:type="spellStart"/>
            <w:r>
              <w:t>exp</w:t>
            </w:r>
            <w:proofErr w:type="spellEnd"/>
            <w:r>
              <w:t xml:space="preserve"> OR '</w:t>
            </w:r>
            <w:proofErr w:type="spellStart"/>
            <w:r>
              <w:t>lupus</w:t>
            </w:r>
            <w:proofErr w:type="spellEnd"/>
            <w:r>
              <w:t>':</w:t>
            </w:r>
            <w:proofErr w:type="spellStart"/>
            <w:proofErr w:type="gramStart"/>
            <w:r>
              <w:t>ti,ab</w:t>
            </w:r>
            <w:proofErr w:type="spellEnd"/>
            <w:proofErr w:type="gramEnd"/>
            <w:r>
              <w:t xml:space="preserve">) </w:t>
            </w:r>
          </w:p>
        </w:tc>
        <w:tc>
          <w:tcPr>
            <w:tcW w:w="2126" w:type="dxa"/>
            <w:vMerge/>
          </w:tcPr>
          <w:p w14:paraId="5476165D"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r>
      <w:tr w:rsidR="00D9167B" w14:paraId="57C4783A" w14:textId="77777777" w:rsidTr="004E7148">
        <w:trPr>
          <w:trHeight w:val="454"/>
        </w:trPr>
        <w:tc>
          <w:tcPr>
            <w:tcW w:w="1560" w:type="dxa"/>
            <w:vMerge/>
            <w:shd w:val="clear" w:color="auto" w:fill="auto"/>
          </w:tcPr>
          <w:p w14:paraId="573DB033"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c>
          <w:tcPr>
            <w:tcW w:w="5386" w:type="dxa"/>
            <w:shd w:val="clear" w:color="auto" w:fill="auto"/>
          </w:tcPr>
          <w:p w14:paraId="749D81EB" w14:textId="77777777" w:rsidR="00D9167B" w:rsidRDefault="00D9167B" w:rsidP="004E7148">
            <w:pPr>
              <w:spacing w:before="120" w:after="120" w:line="240" w:lineRule="auto"/>
              <w:jc w:val="center"/>
              <w:rPr>
                <w:b/>
              </w:rPr>
            </w:pPr>
            <w:r>
              <w:rPr>
                <w:b/>
              </w:rPr>
              <w:t>Parecerista</w:t>
            </w:r>
          </w:p>
        </w:tc>
        <w:tc>
          <w:tcPr>
            <w:tcW w:w="2126" w:type="dxa"/>
            <w:vMerge w:val="restart"/>
          </w:tcPr>
          <w:p w14:paraId="598E1C11" w14:textId="77777777" w:rsidR="00D9167B" w:rsidRDefault="00D9167B" w:rsidP="004E7148">
            <w:pPr>
              <w:spacing w:before="120" w:after="120" w:line="240" w:lineRule="auto"/>
              <w:jc w:val="center"/>
            </w:pPr>
            <w:r>
              <w:t>385</w:t>
            </w:r>
          </w:p>
          <w:p w14:paraId="3BD79038" w14:textId="77777777" w:rsidR="00D9167B" w:rsidRDefault="00D9167B" w:rsidP="004E7148">
            <w:pPr>
              <w:spacing w:before="120" w:after="120" w:line="240" w:lineRule="auto"/>
              <w:jc w:val="center"/>
            </w:pPr>
            <w:r>
              <w:t>[03/02/2025]</w:t>
            </w:r>
          </w:p>
        </w:tc>
      </w:tr>
      <w:tr w:rsidR="00D9167B" w14:paraId="0C4ACCF5" w14:textId="77777777" w:rsidTr="004E7148">
        <w:trPr>
          <w:trHeight w:val="328"/>
        </w:trPr>
        <w:tc>
          <w:tcPr>
            <w:tcW w:w="1560" w:type="dxa"/>
            <w:vMerge/>
            <w:shd w:val="clear" w:color="auto" w:fill="auto"/>
          </w:tcPr>
          <w:p w14:paraId="274538A4" w14:textId="77777777" w:rsidR="00D9167B" w:rsidRDefault="00D9167B" w:rsidP="004E7148">
            <w:pPr>
              <w:widowControl w:val="0"/>
              <w:pBdr>
                <w:top w:val="nil"/>
                <w:left w:val="nil"/>
                <w:bottom w:val="nil"/>
                <w:right w:val="nil"/>
                <w:between w:val="nil"/>
              </w:pBdr>
              <w:spacing w:before="0" w:after="0" w:line="276" w:lineRule="auto"/>
              <w:jc w:val="left"/>
              <w:rPr>
                <w:highlight w:val="lightGray"/>
              </w:rPr>
            </w:pPr>
          </w:p>
        </w:tc>
        <w:tc>
          <w:tcPr>
            <w:tcW w:w="5386" w:type="dxa"/>
            <w:shd w:val="clear" w:color="auto" w:fill="auto"/>
          </w:tcPr>
          <w:p w14:paraId="259AB0D0" w14:textId="77777777" w:rsidR="00D9167B" w:rsidRDefault="00D9167B" w:rsidP="004E7148">
            <w:pPr>
              <w:spacing w:before="120" w:after="120" w:line="240" w:lineRule="auto"/>
              <w:jc w:val="center"/>
            </w:pPr>
            <w:r>
              <w:t>('</w:t>
            </w:r>
            <w:proofErr w:type="spellStart"/>
            <w:r>
              <w:t>systemic</w:t>
            </w:r>
            <w:proofErr w:type="spellEnd"/>
            <w:r>
              <w:t xml:space="preserve"> </w:t>
            </w:r>
            <w:proofErr w:type="spellStart"/>
            <w:r>
              <w:t>lupus</w:t>
            </w:r>
            <w:proofErr w:type="spellEnd"/>
            <w:r>
              <w:t xml:space="preserve"> </w:t>
            </w:r>
            <w:proofErr w:type="spellStart"/>
            <w:r>
              <w:t>erythematosus</w:t>
            </w:r>
            <w:proofErr w:type="spellEnd"/>
            <w:r>
              <w:t>'/</w:t>
            </w:r>
            <w:proofErr w:type="spellStart"/>
            <w:r>
              <w:t>exp</w:t>
            </w:r>
            <w:proofErr w:type="spellEnd"/>
            <w:r>
              <w:t xml:space="preserve"> OR '</w:t>
            </w:r>
            <w:proofErr w:type="spellStart"/>
            <w:r>
              <w:t>sledai</w:t>
            </w:r>
            <w:proofErr w:type="spellEnd"/>
            <w:r>
              <w:t>'/</w:t>
            </w:r>
            <w:proofErr w:type="spellStart"/>
            <w:r>
              <w:t>exp</w:t>
            </w:r>
            <w:proofErr w:type="spellEnd"/>
            <w:r>
              <w:t xml:space="preserve"> 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or</w:t>
            </w:r>
            <w:proofErr w:type="spellEnd"/>
            <w:r>
              <w:t xml:space="preserve"> </w:t>
            </w:r>
            <w:proofErr w:type="spellStart"/>
            <w:r>
              <w:t>sle</w:t>
            </w:r>
            <w:proofErr w:type="spellEnd"/>
            <w:r>
              <w:t xml:space="preserve"> </w:t>
            </w:r>
            <w:proofErr w:type="spellStart"/>
            <w:r>
              <w:t>or</w:t>
            </w:r>
            <w:proofErr w:type="spellEnd"/>
            <w:r>
              <w:t xml:space="preserve"> </w:t>
            </w:r>
            <w:proofErr w:type="spellStart"/>
            <w:r>
              <w:t>lupus</w:t>
            </w:r>
            <w:proofErr w:type="spellEnd"/>
            <w:r>
              <w:t xml:space="preserve"> </w:t>
            </w:r>
            <w:proofErr w:type="spellStart"/>
            <w:r>
              <w:t>or</w:t>
            </w:r>
            <w:proofErr w:type="spellEnd"/>
            <w:r>
              <w:t xml:space="preserve"> `</w:t>
            </w:r>
            <w:proofErr w:type="spellStart"/>
            <w:r>
              <w:t>active</w:t>
            </w:r>
            <w:proofErr w:type="spellEnd"/>
            <w:r>
              <w:t xml:space="preserve"> </w:t>
            </w:r>
            <w:proofErr w:type="spellStart"/>
            <w:r>
              <w:t>lupus</w:t>
            </w:r>
            <w:proofErr w:type="spellEnd"/>
            <w:r>
              <w:t xml:space="preserve">` </w:t>
            </w:r>
            <w:proofErr w:type="spellStart"/>
            <w:r>
              <w:t>or</w:t>
            </w:r>
            <w:proofErr w:type="spellEnd"/>
            <w:r>
              <w:t xml:space="preserve"> `</w:t>
            </w:r>
            <w:proofErr w:type="spellStart"/>
            <w:r>
              <w:t>moderate</w:t>
            </w:r>
            <w:proofErr w:type="spellEnd"/>
            <w:r>
              <w:t xml:space="preserve"> </w:t>
            </w:r>
            <w:proofErr w:type="spellStart"/>
            <w:r>
              <w:t>to</w:t>
            </w:r>
            <w:proofErr w:type="spellEnd"/>
            <w:r>
              <w:t xml:space="preserve"> </w:t>
            </w:r>
            <w:proofErr w:type="spellStart"/>
            <w:r>
              <w:t>severe</w:t>
            </w:r>
            <w:proofErr w:type="spellEnd"/>
            <w:r>
              <w:t xml:space="preserve"> </w:t>
            </w:r>
            <w:proofErr w:type="spellStart"/>
            <w:r>
              <w:t>lupus</w:t>
            </w:r>
            <w:proofErr w:type="spellEnd"/>
            <w:r>
              <w:t xml:space="preserve">` </w:t>
            </w:r>
            <w:proofErr w:type="spellStart"/>
            <w:r>
              <w:t>or</w:t>
            </w:r>
            <w:proofErr w:type="spellEnd"/>
            <w:r>
              <w:t xml:space="preserve"> `</w:t>
            </w:r>
            <w:proofErr w:type="spellStart"/>
            <w:r>
              <w:t>autoimmune</w:t>
            </w:r>
            <w:proofErr w:type="spellEnd"/>
            <w:r>
              <w:t xml:space="preserve"> </w:t>
            </w:r>
            <w:proofErr w:type="spellStart"/>
            <w:r>
              <w:t>disease</w:t>
            </w:r>
            <w:proofErr w:type="spellEnd"/>
            <w:r>
              <w:t>`') AND ('</w:t>
            </w:r>
            <w:proofErr w:type="spellStart"/>
            <w:r>
              <w:t>anifrolumab</w:t>
            </w:r>
            <w:proofErr w:type="spellEnd"/>
            <w:r>
              <w:t>'/</w:t>
            </w:r>
            <w:proofErr w:type="spellStart"/>
            <w:r>
              <w:t>exp</w:t>
            </w:r>
            <w:proofErr w:type="spellEnd"/>
            <w:r>
              <w:t xml:space="preserve"> OR '`</w:t>
            </w:r>
            <w:proofErr w:type="spellStart"/>
            <w:r>
              <w:t>saphnelo</w:t>
            </w:r>
            <w:proofErr w:type="spellEnd"/>
            <w:r>
              <w:t xml:space="preserve">` </w:t>
            </w:r>
            <w:proofErr w:type="spellStart"/>
            <w:r>
              <w:t>or</w:t>
            </w:r>
            <w:proofErr w:type="spellEnd"/>
            <w:r>
              <w:t xml:space="preserve"> `medi-546` </w:t>
            </w:r>
            <w:proofErr w:type="spellStart"/>
            <w:r>
              <w:t>or</w:t>
            </w:r>
            <w:proofErr w:type="spellEnd"/>
            <w:r>
              <w:t xml:space="preserve"> `</w:t>
            </w:r>
            <w:proofErr w:type="spellStart"/>
            <w:r>
              <w:t>anti-interferon</w:t>
            </w:r>
            <w:proofErr w:type="spellEnd"/>
            <w:r>
              <w:t xml:space="preserve"> alpha receptor </w:t>
            </w:r>
            <w:proofErr w:type="spellStart"/>
            <w:r>
              <w:t>antibody</w:t>
            </w:r>
            <w:proofErr w:type="spellEnd"/>
            <w:r>
              <w:t>`') AND ([</w:t>
            </w:r>
            <w:proofErr w:type="spellStart"/>
            <w:r>
              <w:t>article</w:t>
            </w:r>
            <w:proofErr w:type="spellEnd"/>
            <w:r>
              <w:t>]/</w:t>
            </w:r>
            <w:proofErr w:type="spellStart"/>
            <w:r>
              <w:t>lim</w:t>
            </w:r>
            <w:proofErr w:type="spellEnd"/>
            <w:r>
              <w:t xml:space="preserve"> OR [review]/</w:t>
            </w:r>
            <w:proofErr w:type="spellStart"/>
            <w:r>
              <w:t>lim</w:t>
            </w:r>
            <w:proofErr w:type="spellEnd"/>
            <w:r>
              <w:t>) AND [embase]/</w:t>
            </w:r>
            <w:proofErr w:type="spellStart"/>
            <w:r>
              <w:t>lim</w:t>
            </w:r>
            <w:proofErr w:type="spellEnd"/>
          </w:p>
        </w:tc>
        <w:tc>
          <w:tcPr>
            <w:tcW w:w="2126" w:type="dxa"/>
            <w:vMerge/>
          </w:tcPr>
          <w:p w14:paraId="3A7DEF1C" w14:textId="77777777" w:rsidR="00D9167B" w:rsidRDefault="00D9167B" w:rsidP="004E7148">
            <w:pPr>
              <w:widowControl w:val="0"/>
              <w:pBdr>
                <w:top w:val="nil"/>
                <w:left w:val="nil"/>
                <w:bottom w:val="nil"/>
                <w:right w:val="nil"/>
                <w:between w:val="nil"/>
              </w:pBdr>
              <w:spacing w:before="0" w:after="0" w:line="276" w:lineRule="auto"/>
              <w:jc w:val="left"/>
              <w:rPr>
                <w:highlight w:val="yellow"/>
              </w:rPr>
            </w:pPr>
          </w:p>
        </w:tc>
      </w:tr>
      <w:tr w:rsidR="00D9167B" w14:paraId="35A3D538" w14:textId="77777777" w:rsidTr="004E7148">
        <w:trPr>
          <w:trHeight w:val="328"/>
        </w:trPr>
        <w:tc>
          <w:tcPr>
            <w:tcW w:w="1560" w:type="dxa"/>
            <w:vMerge w:val="restart"/>
            <w:shd w:val="clear" w:color="auto" w:fill="auto"/>
          </w:tcPr>
          <w:p w14:paraId="2CA586EE" w14:textId="77777777" w:rsidR="00D9167B" w:rsidRDefault="00D9167B" w:rsidP="004E7148">
            <w:pPr>
              <w:widowControl w:val="0"/>
              <w:pBdr>
                <w:top w:val="nil"/>
                <w:left w:val="nil"/>
                <w:bottom w:val="nil"/>
                <w:right w:val="nil"/>
                <w:between w:val="nil"/>
              </w:pBdr>
              <w:spacing w:before="0" w:after="0" w:line="276" w:lineRule="auto"/>
              <w:jc w:val="center"/>
              <w:rPr>
                <w:b/>
              </w:rPr>
            </w:pPr>
            <w:r>
              <w:t xml:space="preserve"> </w:t>
            </w:r>
            <w:r>
              <w:rPr>
                <w:b/>
              </w:rPr>
              <w:t>Cochrane Library</w:t>
            </w:r>
          </w:p>
        </w:tc>
        <w:tc>
          <w:tcPr>
            <w:tcW w:w="5386" w:type="dxa"/>
            <w:shd w:val="clear" w:color="auto" w:fill="auto"/>
          </w:tcPr>
          <w:p w14:paraId="65362D94" w14:textId="77777777" w:rsidR="00D9167B" w:rsidRDefault="00D9167B" w:rsidP="004E7148">
            <w:pPr>
              <w:spacing w:before="120" w:after="120" w:line="240" w:lineRule="auto"/>
              <w:jc w:val="center"/>
              <w:rPr>
                <w:b/>
              </w:rPr>
            </w:pPr>
            <w:r>
              <w:rPr>
                <w:b/>
              </w:rPr>
              <w:t>Proponente</w:t>
            </w:r>
          </w:p>
        </w:tc>
        <w:tc>
          <w:tcPr>
            <w:tcW w:w="2126" w:type="dxa"/>
            <w:vMerge w:val="restart"/>
          </w:tcPr>
          <w:p w14:paraId="6A7F6DCA" w14:textId="77777777" w:rsidR="00D9167B" w:rsidRDefault="00D9167B" w:rsidP="004E7148">
            <w:pPr>
              <w:spacing w:before="120" w:after="120" w:line="240" w:lineRule="auto"/>
              <w:jc w:val="center"/>
              <w:rPr>
                <w:highlight w:val="yellow"/>
              </w:rPr>
            </w:pPr>
            <w:r>
              <w:t>42 [02/2024]</w:t>
            </w:r>
          </w:p>
        </w:tc>
      </w:tr>
      <w:tr w:rsidR="00D9167B" w14:paraId="4AE23809" w14:textId="77777777" w:rsidTr="004E7148">
        <w:trPr>
          <w:trHeight w:val="328"/>
        </w:trPr>
        <w:tc>
          <w:tcPr>
            <w:tcW w:w="1560" w:type="dxa"/>
            <w:vMerge/>
            <w:shd w:val="clear" w:color="auto" w:fill="auto"/>
          </w:tcPr>
          <w:p w14:paraId="6937A254"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165B5A51" w14:textId="77777777" w:rsidR="00D9167B" w:rsidRDefault="00D9167B" w:rsidP="004E7148">
            <w:pPr>
              <w:spacing w:before="120" w:after="120" w:line="240" w:lineRule="auto"/>
              <w:jc w:val="center"/>
            </w:pPr>
            <w:r>
              <w:t>AND ((('</w:t>
            </w:r>
            <w:proofErr w:type="spellStart"/>
            <w:r>
              <w:t>randomized</w:t>
            </w:r>
            <w:proofErr w:type="spellEnd"/>
            <w:r>
              <w:t xml:space="preserve"> </w:t>
            </w:r>
            <w:proofErr w:type="spellStart"/>
            <w:r>
              <w:t>controlled</w:t>
            </w:r>
            <w:proofErr w:type="spellEnd"/>
            <w:r>
              <w:t xml:space="preserve"> </w:t>
            </w:r>
            <w:proofErr w:type="spellStart"/>
            <w:r>
              <w:t>trial</w:t>
            </w:r>
            <w:proofErr w:type="spellEnd"/>
            <w:r>
              <w:t>'/</w:t>
            </w:r>
            <w:proofErr w:type="spellStart"/>
            <w:r>
              <w:t>exp</w:t>
            </w:r>
            <w:proofErr w:type="spellEnd"/>
            <w:r>
              <w:t xml:space="preserve"> OR '</w:t>
            </w:r>
            <w:proofErr w:type="spellStart"/>
            <w:r>
              <w:t>controlled</w:t>
            </w:r>
            <w:proofErr w:type="spellEnd"/>
            <w:r>
              <w:t xml:space="preserve"> </w:t>
            </w:r>
            <w:proofErr w:type="spellStart"/>
            <w:r>
              <w:t>clinical</w:t>
            </w:r>
            <w:proofErr w:type="spellEnd"/>
            <w:r>
              <w:t xml:space="preserve"> </w:t>
            </w:r>
            <w:proofErr w:type="spellStart"/>
            <w:r>
              <w:t>trial</w:t>
            </w:r>
            <w:proofErr w:type="spellEnd"/>
            <w:r>
              <w:t>'/</w:t>
            </w:r>
            <w:proofErr w:type="spellStart"/>
            <w:r>
              <w:t>exp</w:t>
            </w:r>
            <w:proofErr w:type="spellEnd"/>
            <w:r>
              <w:t xml:space="preserve"> OR '</w:t>
            </w:r>
            <w:proofErr w:type="spellStart"/>
            <w:r>
              <w:t>randomized</w:t>
            </w:r>
            <w:proofErr w:type="spellEnd"/>
            <w:r>
              <w:t>':</w:t>
            </w:r>
            <w:proofErr w:type="spellStart"/>
            <w:proofErr w:type="gramStart"/>
            <w:r>
              <w:t>ti,ab</w:t>
            </w:r>
            <w:proofErr w:type="spellEnd"/>
            <w:proofErr w:type="gramEnd"/>
            <w:r>
              <w:t xml:space="preserve"> OR 'placebo':</w:t>
            </w:r>
            <w:proofErr w:type="spellStart"/>
            <w:proofErr w:type="gramStart"/>
            <w:r>
              <w:t>ti,ab</w:t>
            </w:r>
            <w:proofErr w:type="spellEnd"/>
            <w:proofErr w:type="gramEnd"/>
            <w:r>
              <w:t xml:space="preserve"> OR '</w:t>
            </w:r>
            <w:proofErr w:type="spellStart"/>
            <w:r>
              <w:t>drug</w:t>
            </w:r>
            <w:proofErr w:type="spellEnd"/>
            <w:r>
              <w:t xml:space="preserve"> </w:t>
            </w:r>
            <w:proofErr w:type="spellStart"/>
            <w:r>
              <w:t>therapy</w:t>
            </w:r>
            <w:proofErr w:type="spellEnd"/>
            <w:r>
              <w:t>'/</w:t>
            </w:r>
            <w:proofErr w:type="spellStart"/>
            <w:r>
              <w:t>exp</w:t>
            </w:r>
            <w:proofErr w:type="spellEnd"/>
            <w:r>
              <w:t xml:space="preserve"> OR '</w:t>
            </w:r>
            <w:proofErr w:type="spellStart"/>
            <w:r>
              <w:t>randomly</w:t>
            </w:r>
            <w:proofErr w:type="spellEnd"/>
            <w:r>
              <w:t>':</w:t>
            </w:r>
            <w:proofErr w:type="spellStart"/>
            <w:proofErr w:type="gramStart"/>
            <w:r>
              <w:t>ti,ab</w:t>
            </w:r>
            <w:proofErr w:type="spellEnd"/>
            <w:proofErr w:type="gramEnd"/>
            <w:r>
              <w:t xml:space="preserve"> OR '</w:t>
            </w:r>
            <w:proofErr w:type="spellStart"/>
            <w:r>
              <w:t>trial</w:t>
            </w:r>
            <w:proofErr w:type="spellEnd"/>
            <w:r>
              <w:t>':</w:t>
            </w:r>
            <w:proofErr w:type="spellStart"/>
            <w:proofErr w:type="gramStart"/>
            <w:r>
              <w:t>ti,ab</w:t>
            </w:r>
            <w:proofErr w:type="spellEnd"/>
            <w:proofErr w:type="gramEnd"/>
            <w:r>
              <w:t xml:space="preserve"> OR '</w:t>
            </w:r>
            <w:proofErr w:type="spellStart"/>
            <w:r>
              <w:t>groups</w:t>
            </w:r>
            <w:proofErr w:type="spellEnd"/>
            <w:r>
              <w:t>':</w:t>
            </w:r>
            <w:proofErr w:type="spellStart"/>
            <w:proofErr w:type="gramStart"/>
            <w:r>
              <w:t>ti,ab</w:t>
            </w:r>
            <w:proofErr w:type="spellEnd"/>
            <w:proofErr w:type="gramEnd"/>
            <w:r>
              <w:t>) NOT ('</w:t>
            </w:r>
            <w:proofErr w:type="spellStart"/>
            <w:r>
              <w:t>animals</w:t>
            </w:r>
            <w:proofErr w:type="spellEnd"/>
            <w:r>
              <w:t>'/</w:t>
            </w:r>
            <w:proofErr w:type="spellStart"/>
            <w:r>
              <w:t>exp</w:t>
            </w:r>
            <w:proofErr w:type="spellEnd"/>
            <w:r>
              <w:t xml:space="preserve"> NOT '</w:t>
            </w:r>
            <w:proofErr w:type="spellStart"/>
            <w:r>
              <w:t>humans</w:t>
            </w:r>
            <w:proofErr w:type="spellEnd"/>
            <w:r>
              <w:t>'/</w:t>
            </w:r>
            <w:proofErr w:type="spellStart"/>
            <w:r>
              <w:t>exp</w:t>
            </w:r>
            <w:proofErr w:type="spellEnd"/>
            <w:r>
              <w:t>))</w:t>
            </w:r>
          </w:p>
        </w:tc>
        <w:tc>
          <w:tcPr>
            <w:tcW w:w="2126" w:type="dxa"/>
            <w:vMerge/>
          </w:tcPr>
          <w:p w14:paraId="49A49B2F" w14:textId="77777777" w:rsidR="00D9167B" w:rsidRDefault="00D9167B" w:rsidP="004E7148">
            <w:pPr>
              <w:widowControl w:val="0"/>
              <w:pBdr>
                <w:top w:val="nil"/>
                <w:left w:val="nil"/>
                <w:bottom w:val="nil"/>
                <w:right w:val="nil"/>
                <w:between w:val="nil"/>
              </w:pBdr>
              <w:spacing w:before="0" w:after="0" w:line="240" w:lineRule="auto"/>
              <w:jc w:val="left"/>
              <w:rPr>
                <w:highlight w:val="yellow"/>
              </w:rPr>
            </w:pPr>
          </w:p>
        </w:tc>
      </w:tr>
      <w:tr w:rsidR="00D9167B" w14:paraId="14B21C09" w14:textId="77777777" w:rsidTr="004E7148">
        <w:trPr>
          <w:trHeight w:val="328"/>
        </w:trPr>
        <w:tc>
          <w:tcPr>
            <w:tcW w:w="1560" w:type="dxa"/>
            <w:vMerge/>
            <w:shd w:val="clear" w:color="auto" w:fill="auto"/>
          </w:tcPr>
          <w:p w14:paraId="638C8291"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2079D197" w14:textId="77777777" w:rsidR="00D9167B" w:rsidRDefault="00D9167B" w:rsidP="004E7148">
            <w:pPr>
              <w:spacing w:before="120" w:after="120" w:line="240" w:lineRule="auto"/>
              <w:jc w:val="center"/>
              <w:rPr>
                <w:b/>
              </w:rPr>
            </w:pPr>
            <w:r>
              <w:rPr>
                <w:b/>
              </w:rPr>
              <w:t>Parecerista</w:t>
            </w:r>
          </w:p>
        </w:tc>
        <w:tc>
          <w:tcPr>
            <w:tcW w:w="2126" w:type="dxa"/>
            <w:vMerge w:val="restart"/>
          </w:tcPr>
          <w:p w14:paraId="7C6A4A52" w14:textId="77777777" w:rsidR="00D9167B" w:rsidRDefault="00D9167B" w:rsidP="004E7148">
            <w:pPr>
              <w:spacing w:before="120" w:after="120" w:line="240" w:lineRule="auto"/>
              <w:jc w:val="center"/>
              <w:rPr>
                <w:highlight w:val="yellow"/>
              </w:rPr>
            </w:pPr>
            <w:r>
              <w:t>148 [03/02/2025]</w:t>
            </w:r>
          </w:p>
        </w:tc>
      </w:tr>
      <w:tr w:rsidR="00D9167B" w14:paraId="373FCAEE" w14:textId="77777777" w:rsidTr="004E7148">
        <w:trPr>
          <w:trHeight w:val="328"/>
        </w:trPr>
        <w:tc>
          <w:tcPr>
            <w:tcW w:w="1560" w:type="dxa"/>
            <w:vMerge/>
            <w:shd w:val="clear" w:color="auto" w:fill="auto"/>
          </w:tcPr>
          <w:p w14:paraId="0FEA3CA5"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28254256" w14:textId="77777777" w:rsidR="00D9167B" w:rsidRDefault="00D9167B" w:rsidP="004E7148">
            <w:pPr>
              <w:spacing w:before="120" w:after="120" w:line="240" w:lineRule="auto"/>
            </w:pPr>
            <w:r>
              <w:t>#1</w:t>
            </w:r>
            <w:r>
              <w:tab/>
            </w:r>
            <w:proofErr w:type="spellStart"/>
            <w:r>
              <w:t>MeSH</w:t>
            </w:r>
            <w:proofErr w:type="spellEnd"/>
            <w:r>
              <w:t xml:space="preserve"> </w:t>
            </w:r>
            <w:proofErr w:type="spellStart"/>
            <w:r>
              <w:t>descriptor</w:t>
            </w:r>
            <w:proofErr w:type="spellEnd"/>
            <w:r>
              <w:t>: [</w:t>
            </w:r>
            <w:proofErr w:type="spellStart"/>
            <w:r>
              <w:t>Lupus</w:t>
            </w:r>
            <w:proofErr w:type="spellEnd"/>
            <w:r>
              <w:t xml:space="preserve"> </w:t>
            </w:r>
            <w:proofErr w:type="spellStart"/>
            <w:r>
              <w:t>Erythematosus</w:t>
            </w:r>
            <w:proofErr w:type="spellEnd"/>
            <w:r>
              <w:t xml:space="preserve">, </w:t>
            </w:r>
            <w:proofErr w:type="spellStart"/>
            <w:r>
              <w:t>Systemic</w:t>
            </w:r>
            <w:proofErr w:type="spellEnd"/>
            <w:r>
              <w:t xml:space="preserve">] explode </w:t>
            </w:r>
            <w:proofErr w:type="spellStart"/>
            <w:r>
              <w:t>all</w:t>
            </w:r>
            <w:proofErr w:type="spellEnd"/>
            <w:r>
              <w:t xml:space="preserve"> </w:t>
            </w:r>
            <w:proofErr w:type="spellStart"/>
            <w:r>
              <w:t>trees</w:t>
            </w:r>
            <w:proofErr w:type="spellEnd"/>
            <w:r>
              <w:tab/>
            </w:r>
          </w:p>
          <w:p w14:paraId="386EA027" w14:textId="77777777" w:rsidR="00D9167B" w:rsidRDefault="00D9167B" w:rsidP="004E7148">
            <w:pPr>
              <w:spacing w:before="120" w:after="120" w:line="240" w:lineRule="auto"/>
            </w:pPr>
            <w:r>
              <w:lastRenderedPageBreak/>
              <w:t>#2</w:t>
            </w:r>
            <w:r>
              <w:tab/>
              <w:t xml:space="preserve">(SLE OR </w:t>
            </w:r>
            <w:proofErr w:type="spellStart"/>
            <w:r>
              <w:t>Lupus</w:t>
            </w:r>
            <w:proofErr w:type="spellEnd"/>
            <w:r>
              <w:t xml:space="preserve"> OR "Active </w:t>
            </w:r>
            <w:proofErr w:type="spellStart"/>
            <w:r>
              <w:t>Lupus</w:t>
            </w:r>
            <w:proofErr w:type="spellEnd"/>
            <w:r>
              <w:t>"):</w:t>
            </w:r>
            <w:proofErr w:type="spellStart"/>
            <w:proofErr w:type="gramStart"/>
            <w:r>
              <w:t>ti,ab</w:t>
            </w:r>
            <w:proofErr w:type="gramEnd"/>
            <w:r>
              <w:t>,kw</w:t>
            </w:r>
            <w:proofErr w:type="spellEnd"/>
            <w:r>
              <w:tab/>
            </w:r>
          </w:p>
          <w:p w14:paraId="0702D9E1" w14:textId="77777777" w:rsidR="00D9167B" w:rsidRDefault="00D9167B" w:rsidP="004E7148">
            <w:pPr>
              <w:spacing w:before="120" w:after="120" w:line="240" w:lineRule="auto"/>
            </w:pPr>
            <w:r>
              <w:t>#3</w:t>
            </w:r>
            <w:r>
              <w:tab/>
              <w:t>#1 OR #2</w:t>
            </w:r>
            <w:r>
              <w:tab/>
            </w:r>
          </w:p>
          <w:p w14:paraId="136D3AD2" w14:textId="77777777" w:rsidR="00D9167B" w:rsidRDefault="00D9167B" w:rsidP="004E7148">
            <w:pPr>
              <w:spacing w:before="120" w:after="120" w:line="240" w:lineRule="auto"/>
            </w:pPr>
            <w:r>
              <w:t>#4</w:t>
            </w:r>
            <w:r>
              <w:tab/>
              <w:t>("</w:t>
            </w:r>
            <w:proofErr w:type="spellStart"/>
            <w:r>
              <w:t>Anifrolumab</w:t>
            </w:r>
            <w:proofErr w:type="spellEnd"/>
            <w:r>
              <w:t>" OR "</w:t>
            </w:r>
            <w:proofErr w:type="spellStart"/>
            <w:r>
              <w:t>Saphnelo</w:t>
            </w:r>
            <w:proofErr w:type="spellEnd"/>
            <w:r>
              <w:t>" OR "MEDI-546" OR "</w:t>
            </w:r>
            <w:proofErr w:type="spellStart"/>
            <w:r>
              <w:t>Anti-interferon</w:t>
            </w:r>
            <w:proofErr w:type="spellEnd"/>
            <w:r>
              <w:t xml:space="preserve"> alpha receptor </w:t>
            </w:r>
            <w:proofErr w:type="spellStart"/>
            <w:r>
              <w:t>antibody</w:t>
            </w:r>
            <w:proofErr w:type="spellEnd"/>
            <w:r>
              <w:t>"):</w:t>
            </w:r>
            <w:proofErr w:type="spellStart"/>
            <w:proofErr w:type="gramStart"/>
            <w:r>
              <w:t>ti,ab</w:t>
            </w:r>
            <w:proofErr w:type="gramEnd"/>
            <w:r>
              <w:t>,kw</w:t>
            </w:r>
            <w:proofErr w:type="spellEnd"/>
            <w:r>
              <w:tab/>
              <w:t>#5</w:t>
            </w:r>
            <w:r>
              <w:tab/>
              <w:t>#3 AND #4</w:t>
            </w:r>
            <w:r>
              <w:tab/>
            </w:r>
          </w:p>
        </w:tc>
        <w:tc>
          <w:tcPr>
            <w:tcW w:w="2126" w:type="dxa"/>
            <w:vMerge/>
          </w:tcPr>
          <w:p w14:paraId="607658F6" w14:textId="77777777" w:rsidR="00D9167B" w:rsidRDefault="00D9167B" w:rsidP="004E7148">
            <w:pPr>
              <w:widowControl w:val="0"/>
              <w:pBdr>
                <w:top w:val="nil"/>
                <w:left w:val="nil"/>
                <w:bottom w:val="nil"/>
                <w:right w:val="nil"/>
                <w:between w:val="nil"/>
              </w:pBdr>
              <w:spacing w:before="0" w:after="0" w:line="240" w:lineRule="auto"/>
              <w:jc w:val="left"/>
              <w:rPr>
                <w:highlight w:val="yellow"/>
              </w:rPr>
            </w:pPr>
          </w:p>
        </w:tc>
      </w:tr>
      <w:tr w:rsidR="00D9167B" w14:paraId="6867F27E" w14:textId="77777777" w:rsidTr="004E7148">
        <w:trPr>
          <w:trHeight w:val="328"/>
        </w:trPr>
        <w:tc>
          <w:tcPr>
            <w:tcW w:w="1560" w:type="dxa"/>
            <w:vMerge w:val="restart"/>
            <w:shd w:val="clear" w:color="auto" w:fill="auto"/>
          </w:tcPr>
          <w:p w14:paraId="2558E614" w14:textId="77777777" w:rsidR="00D9167B" w:rsidRDefault="00D9167B" w:rsidP="004E7148">
            <w:pPr>
              <w:widowControl w:val="0"/>
              <w:pBdr>
                <w:top w:val="nil"/>
                <w:left w:val="nil"/>
                <w:bottom w:val="nil"/>
                <w:right w:val="nil"/>
                <w:between w:val="nil"/>
              </w:pBdr>
              <w:spacing w:before="0" w:after="0" w:line="240" w:lineRule="auto"/>
              <w:jc w:val="center"/>
              <w:rPr>
                <w:b/>
              </w:rPr>
            </w:pPr>
            <w:proofErr w:type="spellStart"/>
            <w:r>
              <w:rPr>
                <w:b/>
              </w:rPr>
              <w:t>Lilacs</w:t>
            </w:r>
            <w:proofErr w:type="spellEnd"/>
          </w:p>
        </w:tc>
        <w:tc>
          <w:tcPr>
            <w:tcW w:w="5386" w:type="dxa"/>
            <w:shd w:val="clear" w:color="auto" w:fill="auto"/>
          </w:tcPr>
          <w:p w14:paraId="5E7F4A08" w14:textId="77777777" w:rsidR="00D9167B" w:rsidRDefault="00D9167B" w:rsidP="004E7148">
            <w:pPr>
              <w:spacing w:before="120" w:after="120" w:line="240" w:lineRule="auto"/>
              <w:jc w:val="center"/>
              <w:rPr>
                <w:b/>
              </w:rPr>
            </w:pPr>
            <w:r>
              <w:rPr>
                <w:b/>
              </w:rPr>
              <w:t>Proponente</w:t>
            </w:r>
          </w:p>
        </w:tc>
        <w:tc>
          <w:tcPr>
            <w:tcW w:w="2126" w:type="dxa"/>
            <w:vMerge w:val="restart"/>
          </w:tcPr>
          <w:p w14:paraId="5447FAA8" w14:textId="77777777" w:rsidR="00D9167B" w:rsidRDefault="00D9167B" w:rsidP="004E7148">
            <w:pPr>
              <w:spacing w:before="120" w:after="120" w:line="240" w:lineRule="auto"/>
              <w:jc w:val="center"/>
              <w:rPr>
                <w:highlight w:val="yellow"/>
              </w:rPr>
            </w:pPr>
            <w:r>
              <w:t>0 [02/2024]</w:t>
            </w:r>
          </w:p>
        </w:tc>
      </w:tr>
      <w:tr w:rsidR="00D9167B" w14:paraId="73A0ADE5" w14:textId="77777777" w:rsidTr="004E7148">
        <w:trPr>
          <w:trHeight w:val="328"/>
        </w:trPr>
        <w:tc>
          <w:tcPr>
            <w:tcW w:w="1560" w:type="dxa"/>
            <w:vMerge/>
            <w:shd w:val="clear" w:color="auto" w:fill="auto"/>
          </w:tcPr>
          <w:p w14:paraId="76CEC873"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75ECED91" w14:textId="77777777" w:rsidR="00D9167B" w:rsidRDefault="00D9167B" w:rsidP="004E7148">
            <w:pPr>
              <w:spacing w:before="120" w:after="120" w:line="240" w:lineRule="auto"/>
              <w:jc w:val="center"/>
            </w:pPr>
            <w:r>
              <w:t>OR ('</w:t>
            </w:r>
            <w:proofErr w:type="spellStart"/>
            <w:r>
              <w:t>systematic</w:t>
            </w:r>
            <w:proofErr w:type="spellEnd"/>
            <w:r>
              <w:t xml:space="preserve"> </w:t>
            </w:r>
            <w:proofErr w:type="spellStart"/>
            <w:r>
              <w:t>review':ti</w:t>
            </w:r>
            <w:proofErr w:type="spellEnd"/>
            <w:r>
              <w:t xml:space="preserve"> OR '</w:t>
            </w:r>
            <w:proofErr w:type="spellStart"/>
            <w:r>
              <w:t>systematic</w:t>
            </w:r>
            <w:proofErr w:type="spellEnd"/>
            <w:r>
              <w:t xml:space="preserve"> </w:t>
            </w:r>
            <w:proofErr w:type="spellStart"/>
            <w:r>
              <w:t>literature</w:t>
            </w:r>
            <w:proofErr w:type="spellEnd"/>
            <w:r>
              <w:t xml:space="preserve"> </w:t>
            </w:r>
            <w:proofErr w:type="spellStart"/>
            <w:r>
              <w:t>review':ti</w:t>
            </w:r>
            <w:proofErr w:type="spellEnd"/>
            <w:r>
              <w:t xml:space="preserve"> OR '</w:t>
            </w:r>
            <w:proofErr w:type="spellStart"/>
            <w:r>
              <w:t>systematic</w:t>
            </w:r>
            <w:proofErr w:type="spellEnd"/>
            <w:r>
              <w:t xml:space="preserve"> </w:t>
            </w:r>
            <w:proofErr w:type="spellStart"/>
            <w:r>
              <w:t>evidence</w:t>
            </w:r>
            <w:proofErr w:type="spellEnd"/>
            <w:r>
              <w:t xml:space="preserve"> </w:t>
            </w:r>
            <w:proofErr w:type="spellStart"/>
            <w:r>
              <w:t>review':ti</w:t>
            </w:r>
            <w:proofErr w:type="spellEnd"/>
            <w:r>
              <w:t xml:space="preserve"> OR '</w:t>
            </w:r>
            <w:proofErr w:type="spellStart"/>
            <w:r>
              <w:t>systematic</w:t>
            </w:r>
            <w:proofErr w:type="spellEnd"/>
            <w:r>
              <w:t xml:space="preserve"> review'/</w:t>
            </w:r>
            <w:proofErr w:type="spellStart"/>
            <w:r>
              <w:t>exp</w:t>
            </w:r>
            <w:proofErr w:type="spellEnd"/>
            <w:r>
              <w:t>))</w:t>
            </w:r>
          </w:p>
        </w:tc>
        <w:tc>
          <w:tcPr>
            <w:tcW w:w="2126" w:type="dxa"/>
            <w:vMerge/>
          </w:tcPr>
          <w:p w14:paraId="1D62D561" w14:textId="77777777" w:rsidR="00D9167B" w:rsidRDefault="00D9167B" w:rsidP="004E7148">
            <w:pPr>
              <w:widowControl w:val="0"/>
              <w:pBdr>
                <w:top w:val="nil"/>
                <w:left w:val="nil"/>
                <w:bottom w:val="nil"/>
                <w:right w:val="nil"/>
                <w:between w:val="nil"/>
              </w:pBdr>
              <w:spacing w:before="0" w:after="0" w:line="240" w:lineRule="auto"/>
              <w:jc w:val="left"/>
              <w:rPr>
                <w:highlight w:val="yellow"/>
              </w:rPr>
            </w:pPr>
          </w:p>
        </w:tc>
      </w:tr>
      <w:tr w:rsidR="00D9167B" w14:paraId="548F1D87" w14:textId="77777777" w:rsidTr="004E7148">
        <w:trPr>
          <w:trHeight w:val="328"/>
        </w:trPr>
        <w:tc>
          <w:tcPr>
            <w:tcW w:w="1560" w:type="dxa"/>
            <w:vMerge/>
            <w:shd w:val="clear" w:color="auto" w:fill="auto"/>
          </w:tcPr>
          <w:p w14:paraId="763C2B37"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7D52D516" w14:textId="77777777" w:rsidR="00D9167B" w:rsidRDefault="00D9167B" w:rsidP="004E7148">
            <w:pPr>
              <w:spacing w:before="120" w:after="120" w:line="240" w:lineRule="auto"/>
              <w:jc w:val="center"/>
              <w:rPr>
                <w:b/>
              </w:rPr>
            </w:pPr>
            <w:r>
              <w:rPr>
                <w:b/>
              </w:rPr>
              <w:t>Parecerista</w:t>
            </w:r>
          </w:p>
        </w:tc>
        <w:tc>
          <w:tcPr>
            <w:tcW w:w="2126" w:type="dxa"/>
            <w:vMerge w:val="restart"/>
          </w:tcPr>
          <w:p w14:paraId="6DC5B3C9" w14:textId="77777777" w:rsidR="00D9167B" w:rsidRDefault="00D9167B" w:rsidP="004E7148">
            <w:pPr>
              <w:spacing w:before="120" w:after="120" w:line="240" w:lineRule="auto"/>
              <w:jc w:val="center"/>
              <w:rPr>
                <w:highlight w:val="yellow"/>
              </w:rPr>
            </w:pPr>
            <w:r>
              <w:t>0 [03/02/2025]</w:t>
            </w:r>
          </w:p>
        </w:tc>
      </w:tr>
      <w:tr w:rsidR="00D9167B" w14:paraId="7F9E2BA1" w14:textId="77777777" w:rsidTr="004E7148">
        <w:trPr>
          <w:trHeight w:val="328"/>
        </w:trPr>
        <w:tc>
          <w:tcPr>
            <w:tcW w:w="1560" w:type="dxa"/>
            <w:vMerge/>
            <w:shd w:val="clear" w:color="auto" w:fill="auto"/>
          </w:tcPr>
          <w:p w14:paraId="116CB975" w14:textId="77777777" w:rsidR="00D9167B" w:rsidRDefault="00D9167B" w:rsidP="004E7148">
            <w:pPr>
              <w:widowControl w:val="0"/>
              <w:pBdr>
                <w:top w:val="nil"/>
                <w:left w:val="nil"/>
                <w:bottom w:val="nil"/>
                <w:right w:val="nil"/>
                <w:between w:val="nil"/>
              </w:pBdr>
              <w:spacing w:before="0" w:after="0" w:line="240" w:lineRule="auto"/>
              <w:jc w:val="left"/>
              <w:rPr>
                <w:highlight w:val="lightGray"/>
              </w:rPr>
            </w:pPr>
          </w:p>
        </w:tc>
        <w:tc>
          <w:tcPr>
            <w:tcW w:w="5386" w:type="dxa"/>
            <w:shd w:val="clear" w:color="auto" w:fill="auto"/>
          </w:tcPr>
          <w:p w14:paraId="1313892F" w14:textId="77777777" w:rsidR="00D9167B" w:rsidRDefault="00D9167B" w:rsidP="004E7148">
            <w:pPr>
              <w:spacing w:before="120" w:after="120" w:line="240" w:lineRule="auto"/>
              <w:jc w:val="center"/>
            </w:pPr>
            <w:r>
              <w:t>("</w:t>
            </w:r>
            <w:proofErr w:type="spellStart"/>
            <w:r>
              <w:t>Anifrolumabe</w:t>
            </w:r>
            <w:proofErr w:type="spellEnd"/>
            <w:r>
              <w:t>" OR "</w:t>
            </w:r>
            <w:proofErr w:type="spellStart"/>
            <w:r>
              <w:t>Anifrolumab</w:t>
            </w:r>
            <w:proofErr w:type="spellEnd"/>
            <w:r>
              <w:t>" OR "</w:t>
            </w:r>
            <w:proofErr w:type="spellStart"/>
            <w:r>
              <w:t>Saphnelo</w:t>
            </w:r>
            <w:proofErr w:type="spellEnd"/>
            <w:r>
              <w:t>" OR "MEDI-546" OR "Anticorpo monoclonal anti-IFNAR1" OR "Anticorpo contra receptor de interferon alfa")</w:t>
            </w:r>
          </w:p>
        </w:tc>
        <w:tc>
          <w:tcPr>
            <w:tcW w:w="2126" w:type="dxa"/>
            <w:vMerge/>
          </w:tcPr>
          <w:p w14:paraId="6F829515" w14:textId="77777777" w:rsidR="00D9167B" w:rsidRDefault="00D9167B" w:rsidP="004E7148">
            <w:pPr>
              <w:widowControl w:val="0"/>
              <w:pBdr>
                <w:top w:val="nil"/>
                <w:left w:val="nil"/>
                <w:bottom w:val="nil"/>
                <w:right w:val="nil"/>
                <w:between w:val="nil"/>
              </w:pBdr>
              <w:spacing w:before="0" w:after="0" w:line="240" w:lineRule="auto"/>
              <w:jc w:val="left"/>
              <w:rPr>
                <w:highlight w:val="yellow"/>
              </w:rPr>
            </w:pPr>
          </w:p>
        </w:tc>
      </w:tr>
    </w:tbl>
    <w:p w14:paraId="4BDB5498" w14:textId="77777777" w:rsidR="00D9167B" w:rsidRDefault="00D9167B" w:rsidP="00D9167B">
      <w:pPr>
        <w:pStyle w:val="Ttulo4"/>
        <w:jc w:val="both"/>
        <w:rPr>
          <w:b/>
        </w:rPr>
      </w:pPr>
    </w:p>
    <w:p w14:paraId="2D322044" w14:textId="77777777" w:rsidR="00817793" w:rsidRDefault="002719FC">
      <w:pPr>
        <w:pStyle w:val="Ttulo4"/>
      </w:pPr>
      <w:bookmarkStart w:id="23" w:name="_sd8nh93f48v1" w:colFirst="0" w:colLast="0"/>
      <w:bookmarkEnd w:id="23"/>
      <w:r>
        <w:rPr>
          <w:b/>
        </w:rPr>
        <w:t>Quadro 7.</w:t>
      </w:r>
      <w:r>
        <w:t xml:space="preserve"> Fontes de buscas adicionais (versão do proponente e do parecerista)</w:t>
      </w:r>
    </w:p>
    <w:tbl>
      <w:tblPr>
        <w:tblStyle w:val="aa"/>
        <w:tblW w:w="907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4"/>
        <w:gridCol w:w="3993"/>
        <w:gridCol w:w="4085"/>
      </w:tblGrid>
      <w:tr w:rsidR="00817793" w14:paraId="598638C8" w14:textId="77777777">
        <w:trPr>
          <w:trHeight w:val="454"/>
          <w:jc w:val="center"/>
        </w:trPr>
        <w:tc>
          <w:tcPr>
            <w:tcW w:w="994" w:type="dxa"/>
            <w:shd w:val="clear" w:color="auto" w:fill="D9E2F3"/>
          </w:tcPr>
          <w:p w14:paraId="78DA4C2B" w14:textId="77777777" w:rsidR="00817793" w:rsidRDefault="002719FC">
            <w:pPr>
              <w:spacing w:before="120" w:after="120" w:line="240" w:lineRule="auto"/>
              <w:jc w:val="center"/>
              <w:rPr>
                <w:b/>
              </w:rPr>
            </w:pPr>
            <w:r>
              <w:rPr>
                <w:b/>
              </w:rPr>
              <w:t>Fonte</w:t>
            </w:r>
          </w:p>
        </w:tc>
        <w:tc>
          <w:tcPr>
            <w:tcW w:w="3993" w:type="dxa"/>
            <w:shd w:val="clear" w:color="auto" w:fill="D9E2F3"/>
          </w:tcPr>
          <w:p w14:paraId="64C88260" w14:textId="77777777" w:rsidR="00817793" w:rsidRDefault="002719FC">
            <w:pPr>
              <w:spacing w:before="120" w:after="120" w:line="240" w:lineRule="auto"/>
              <w:jc w:val="center"/>
              <w:rPr>
                <w:b/>
              </w:rPr>
            </w:pPr>
            <w:r>
              <w:rPr>
                <w:b/>
              </w:rPr>
              <w:t>Proponente</w:t>
            </w:r>
          </w:p>
        </w:tc>
        <w:tc>
          <w:tcPr>
            <w:tcW w:w="4085" w:type="dxa"/>
            <w:shd w:val="clear" w:color="auto" w:fill="D9E2F3"/>
          </w:tcPr>
          <w:p w14:paraId="7405366A" w14:textId="77777777" w:rsidR="00817793" w:rsidRDefault="002719FC">
            <w:pPr>
              <w:spacing w:before="120" w:after="120" w:line="240" w:lineRule="auto"/>
              <w:jc w:val="center"/>
              <w:rPr>
                <w:b/>
              </w:rPr>
            </w:pPr>
            <w:r>
              <w:rPr>
                <w:b/>
              </w:rPr>
              <w:t>Parecerista</w:t>
            </w:r>
          </w:p>
        </w:tc>
      </w:tr>
      <w:tr w:rsidR="00817793" w14:paraId="502634E0" w14:textId="77777777">
        <w:trPr>
          <w:trHeight w:val="454"/>
          <w:jc w:val="center"/>
        </w:trPr>
        <w:tc>
          <w:tcPr>
            <w:tcW w:w="994" w:type="dxa"/>
            <w:shd w:val="clear" w:color="auto" w:fill="auto"/>
          </w:tcPr>
          <w:p w14:paraId="56B20A0C" w14:textId="77777777" w:rsidR="00817793" w:rsidRDefault="002719FC">
            <w:pPr>
              <w:spacing w:before="120" w:after="120" w:line="240" w:lineRule="auto"/>
              <w:jc w:val="center"/>
              <w:rPr>
                <w:b/>
              </w:rPr>
            </w:pPr>
            <w:r>
              <w:rPr>
                <w:b/>
              </w:rPr>
              <w:t>1</w:t>
            </w:r>
          </w:p>
        </w:tc>
        <w:tc>
          <w:tcPr>
            <w:tcW w:w="3993" w:type="dxa"/>
            <w:shd w:val="clear" w:color="auto" w:fill="auto"/>
          </w:tcPr>
          <w:p w14:paraId="6A09E912" w14:textId="77777777" w:rsidR="00817793" w:rsidRDefault="002719FC">
            <w:pPr>
              <w:spacing w:before="120" w:after="120" w:line="240" w:lineRule="auto"/>
              <w:jc w:val="center"/>
            </w:pPr>
            <w:r>
              <w:t>-</w:t>
            </w:r>
          </w:p>
        </w:tc>
        <w:tc>
          <w:tcPr>
            <w:tcW w:w="4085" w:type="dxa"/>
          </w:tcPr>
          <w:p w14:paraId="6F59E638" w14:textId="77777777" w:rsidR="00817793" w:rsidRDefault="002719FC">
            <w:pPr>
              <w:spacing w:before="120" w:after="120" w:line="240" w:lineRule="auto"/>
              <w:jc w:val="center"/>
            </w:pPr>
            <w:r>
              <w:t>Lista de referências de estudo relevantes</w:t>
            </w:r>
          </w:p>
        </w:tc>
      </w:tr>
      <w:tr w:rsidR="00817793" w14:paraId="2BBC527C" w14:textId="77777777">
        <w:trPr>
          <w:trHeight w:val="454"/>
          <w:jc w:val="center"/>
        </w:trPr>
        <w:tc>
          <w:tcPr>
            <w:tcW w:w="994" w:type="dxa"/>
            <w:shd w:val="clear" w:color="auto" w:fill="auto"/>
          </w:tcPr>
          <w:p w14:paraId="7144751B" w14:textId="77777777" w:rsidR="00817793" w:rsidRDefault="002719FC">
            <w:pPr>
              <w:spacing w:before="120" w:after="120" w:line="240" w:lineRule="auto"/>
              <w:jc w:val="center"/>
              <w:rPr>
                <w:b/>
              </w:rPr>
            </w:pPr>
            <w:r>
              <w:rPr>
                <w:b/>
              </w:rPr>
              <w:t>2</w:t>
            </w:r>
          </w:p>
        </w:tc>
        <w:tc>
          <w:tcPr>
            <w:tcW w:w="3993" w:type="dxa"/>
            <w:shd w:val="clear" w:color="auto" w:fill="auto"/>
          </w:tcPr>
          <w:p w14:paraId="33E67AC6" w14:textId="77777777" w:rsidR="00817793" w:rsidRDefault="002719FC">
            <w:pPr>
              <w:spacing w:before="120" w:after="120" w:line="240" w:lineRule="auto"/>
              <w:jc w:val="center"/>
            </w:pPr>
            <w:r>
              <w:t>-</w:t>
            </w:r>
          </w:p>
        </w:tc>
        <w:tc>
          <w:tcPr>
            <w:tcW w:w="4085" w:type="dxa"/>
          </w:tcPr>
          <w:p w14:paraId="43E63CDF" w14:textId="77777777" w:rsidR="00817793" w:rsidRDefault="002719FC">
            <w:pPr>
              <w:spacing w:before="120" w:after="120" w:line="240" w:lineRule="auto"/>
              <w:jc w:val="center"/>
            </w:pPr>
            <w:r>
              <w:t>ClinicalTrials.gov</w:t>
            </w:r>
          </w:p>
        </w:tc>
      </w:tr>
    </w:tbl>
    <w:p w14:paraId="2916C19D" w14:textId="77777777" w:rsidR="00817793" w:rsidRDefault="00817793">
      <w:pPr>
        <w:rPr>
          <w:i/>
          <w:color w:val="FF0000"/>
        </w:rPr>
      </w:pPr>
    </w:p>
    <w:tbl>
      <w:tblPr>
        <w:tblStyle w:val="ab"/>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7C2AE5DB" w14:textId="77777777">
        <w:trPr>
          <w:trHeight w:val="416"/>
        </w:trPr>
        <w:tc>
          <w:tcPr>
            <w:tcW w:w="9072" w:type="dxa"/>
            <w:shd w:val="clear" w:color="auto" w:fill="D9E2F3"/>
            <w:vAlign w:val="center"/>
          </w:tcPr>
          <w:p w14:paraId="493469B6" w14:textId="77777777" w:rsidR="00817793" w:rsidRDefault="002719FC">
            <w:pPr>
              <w:spacing w:before="120" w:after="120"/>
              <w:jc w:val="center"/>
              <w:rPr>
                <w:b/>
              </w:rPr>
            </w:pPr>
            <w:r>
              <w:rPr>
                <w:b/>
              </w:rPr>
              <w:t>Comentários gerais sobre as fontes e estratégias de busca</w:t>
            </w:r>
          </w:p>
        </w:tc>
      </w:tr>
      <w:tr w:rsidR="00817793" w14:paraId="4B91BA22" w14:textId="77777777">
        <w:trPr>
          <w:trHeight w:val="750"/>
        </w:trPr>
        <w:tc>
          <w:tcPr>
            <w:tcW w:w="9072" w:type="dxa"/>
            <w:vAlign w:val="center"/>
          </w:tcPr>
          <w:p w14:paraId="1BA1AB2D" w14:textId="77777777" w:rsidR="00817793" w:rsidRDefault="002719FC">
            <w:pPr>
              <w:spacing w:before="120" w:after="120"/>
            </w:pPr>
            <w:r>
              <w:t>A estratégia de busca apresentada pelo proponente foi considerada inadequada ou houve erro na representação da estratégia de busca apresentada no Anexo 1 do PTC / Revisão Sistemática do proponente. A busca realizada na base de dados foi considerada incompleta. Os pareceristas desenvolveram uma nova estratégia de busca.</w:t>
            </w:r>
          </w:p>
          <w:p w14:paraId="70201B16" w14:textId="77777777" w:rsidR="00817793" w:rsidRDefault="002719FC">
            <w:pPr>
              <w:spacing w:before="120" w:after="120"/>
            </w:pPr>
            <w:r>
              <w:t>O PROPONENTE não realizou buscas nas listas de referências de artigos relevantes ou de ensaios clínicos em andamento. Complementando essa abordagem, os PARECERISTAS conduziram buscas manuais nos artigos identificados como relevantes e no site ClinicalTrials.gov.</w:t>
            </w:r>
          </w:p>
        </w:tc>
      </w:tr>
    </w:tbl>
    <w:p w14:paraId="33EF0685" w14:textId="77777777" w:rsidR="00817793" w:rsidRDefault="002719FC">
      <w:pPr>
        <w:pStyle w:val="Ttulo2"/>
      </w:pPr>
      <w:bookmarkStart w:id="24" w:name="_1y810tw" w:colFirst="0" w:colLast="0"/>
      <w:bookmarkEnd w:id="24"/>
      <w:r>
        <w:lastRenderedPageBreak/>
        <w:t>5.4. Seleção de estudos e extração de dados</w:t>
      </w:r>
    </w:p>
    <w:p w14:paraId="6D5F625B" w14:textId="77777777" w:rsidR="00817793" w:rsidRDefault="002719FC">
      <w:pPr>
        <w:pStyle w:val="Ttulo4"/>
      </w:pPr>
      <w:bookmarkStart w:id="25" w:name="_w76ykdja3v2f" w:colFirst="0" w:colLast="0"/>
      <w:bookmarkEnd w:id="25"/>
      <w:r>
        <w:rPr>
          <w:b/>
        </w:rPr>
        <w:t xml:space="preserve">Quadro 8. </w:t>
      </w:r>
      <w:r>
        <w:t>Características do processo de seleção dos estudos e extração de dados (versão do PROPONENTE e do PARECERISTA)</w:t>
      </w:r>
    </w:p>
    <w:tbl>
      <w:tblPr>
        <w:tblStyle w:val="ac"/>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1"/>
        <w:gridCol w:w="2268"/>
        <w:gridCol w:w="2663"/>
        <w:gridCol w:w="2723"/>
      </w:tblGrid>
      <w:tr w:rsidR="00817793" w14:paraId="6D0E09C8" w14:textId="77777777">
        <w:trPr>
          <w:trHeight w:val="454"/>
          <w:jc w:val="center"/>
        </w:trPr>
        <w:tc>
          <w:tcPr>
            <w:tcW w:w="9135" w:type="dxa"/>
            <w:gridSpan w:val="4"/>
            <w:shd w:val="clear" w:color="auto" w:fill="D9E2F3"/>
          </w:tcPr>
          <w:p w14:paraId="2663ECE6" w14:textId="77777777" w:rsidR="00817793" w:rsidRDefault="002719FC">
            <w:pPr>
              <w:spacing w:before="120" w:after="120" w:line="240" w:lineRule="auto"/>
              <w:jc w:val="center"/>
              <w:rPr>
                <w:b/>
              </w:rPr>
            </w:pPr>
            <w:r>
              <w:rPr>
                <w:b/>
              </w:rPr>
              <w:t>Seleção de estudos</w:t>
            </w:r>
          </w:p>
        </w:tc>
      </w:tr>
      <w:tr w:rsidR="00817793" w14:paraId="1628AE2A" w14:textId="77777777">
        <w:trPr>
          <w:trHeight w:val="454"/>
          <w:jc w:val="center"/>
        </w:trPr>
        <w:tc>
          <w:tcPr>
            <w:tcW w:w="1481" w:type="dxa"/>
            <w:shd w:val="clear" w:color="auto" w:fill="D9E2F3"/>
          </w:tcPr>
          <w:p w14:paraId="3093B71F" w14:textId="77777777" w:rsidR="00817793" w:rsidRDefault="002719FC">
            <w:pPr>
              <w:spacing w:before="120" w:after="120" w:line="240" w:lineRule="auto"/>
              <w:jc w:val="center"/>
              <w:rPr>
                <w:b/>
              </w:rPr>
            </w:pPr>
            <w:r>
              <w:rPr>
                <w:b/>
              </w:rPr>
              <w:t>Critérios</w:t>
            </w:r>
          </w:p>
        </w:tc>
        <w:tc>
          <w:tcPr>
            <w:tcW w:w="2268" w:type="dxa"/>
            <w:shd w:val="clear" w:color="auto" w:fill="D9E2F3"/>
          </w:tcPr>
          <w:p w14:paraId="3A6F91B4" w14:textId="77777777" w:rsidR="00817793" w:rsidRDefault="002719FC">
            <w:pPr>
              <w:spacing w:before="120" w:after="120" w:line="240" w:lineRule="auto"/>
              <w:jc w:val="center"/>
              <w:rPr>
                <w:b/>
              </w:rPr>
            </w:pPr>
            <w:r>
              <w:rPr>
                <w:b/>
              </w:rPr>
              <w:t>Proponente</w:t>
            </w:r>
          </w:p>
        </w:tc>
        <w:tc>
          <w:tcPr>
            <w:tcW w:w="2663" w:type="dxa"/>
            <w:shd w:val="clear" w:color="auto" w:fill="D9E2F3"/>
          </w:tcPr>
          <w:p w14:paraId="65AF097D" w14:textId="77777777" w:rsidR="00817793" w:rsidRDefault="002719FC">
            <w:pPr>
              <w:spacing w:before="120" w:after="120" w:line="240" w:lineRule="auto"/>
              <w:jc w:val="center"/>
              <w:rPr>
                <w:b/>
              </w:rPr>
            </w:pPr>
            <w:r>
              <w:rPr>
                <w:b/>
              </w:rPr>
              <w:t>Análise da proposta</w:t>
            </w:r>
          </w:p>
        </w:tc>
        <w:tc>
          <w:tcPr>
            <w:tcW w:w="2723" w:type="dxa"/>
            <w:shd w:val="clear" w:color="auto" w:fill="D9E2F3"/>
          </w:tcPr>
          <w:p w14:paraId="4E4D81E5" w14:textId="77777777" w:rsidR="00817793" w:rsidRDefault="002719FC">
            <w:pPr>
              <w:spacing w:before="120" w:after="120" w:line="240" w:lineRule="auto"/>
              <w:jc w:val="center"/>
              <w:rPr>
                <w:b/>
              </w:rPr>
            </w:pPr>
            <w:r>
              <w:rPr>
                <w:b/>
              </w:rPr>
              <w:t>Parecerista</w:t>
            </w:r>
          </w:p>
        </w:tc>
      </w:tr>
      <w:tr w:rsidR="00817793" w14:paraId="04B5B3F8" w14:textId="77777777">
        <w:trPr>
          <w:trHeight w:val="454"/>
          <w:jc w:val="center"/>
        </w:trPr>
        <w:tc>
          <w:tcPr>
            <w:tcW w:w="1481" w:type="dxa"/>
            <w:shd w:val="clear" w:color="auto" w:fill="auto"/>
          </w:tcPr>
          <w:p w14:paraId="502B22CD" w14:textId="77777777" w:rsidR="00817793" w:rsidRDefault="002719FC">
            <w:pPr>
              <w:spacing w:before="120" w:after="120" w:line="240" w:lineRule="auto"/>
              <w:jc w:val="center"/>
              <w:rPr>
                <w:b/>
              </w:rPr>
            </w:pPr>
            <w:r>
              <w:rPr>
                <w:b/>
              </w:rPr>
              <w:t>Plataforma</w:t>
            </w:r>
          </w:p>
        </w:tc>
        <w:tc>
          <w:tcPr>
            <w:tcW w:w="2268" w:type="dxa"/>
            <w:shd w:val="clear" w:color="auto" w:fill="auto"/>
          </w:tcPr>
          <w:p w14:paraId="35840D94" w14:textId="77777777" w:rsidR="00817793" w:rsidRDefault="002719FC">
            <w:pPr>
              <w:spacing w:before="120" w:after="120" w:line="240" w:lineRule="auto"/>
              <w:jc w:val="center"/>
            </w:pPr>
            <w:r>
              <w:t>Não informado</w:t>
            </w:r>
          </w:p>
        </w:tc>
        <w:tc>
          <w:tcPr>
            <w:tcW w:w="2663" w:type="dxa"/>
          </w:tcPr>
          <w:p w14:paraId="59F9858B" w14:textId="77777777" w:rsidR="00817793" w:rsidRDefault="002719FC">
            <w:pPr>
              <w:spacing w:before="120" w:after="120" w:line="240" w:lineRule="auto"/>
              <w:jc w:val="center"/>
            </w:pPr>
            <w:r>
              <w:t>Inadequado</w:t>
            </w:r>
          </w:p>
        </w:tc>
        <w:tc>
          <w:tcPr>
            <w:tcW w:w="2723" w:type="dxa"/>
          </w:tcPr>
          <w:p w14:paraId="6E20D4AD" w14:textId="77777777" w:rsidR="00817793" w:rsidRPr="00500F58" w:rsidRDefault="002719FC">
            <w:pPr>
              <w:spacing w:before="120" w:after="120" w:line="240" w:lineRule="auto"/>
              <w:jc w:val="center"/>
              <w:rPr>
                <w:i/>
                <w:iCs/>
              </w:rPr>
            </w:pPr>
            <w:proofErr w:type="spellStart"/>
            <w:r w:rsidRPr="00500F58">
              <w:rPr>
                <w:i/>
                <w:iCs/>
              </w:rPr>
              <w:t>Rayyan</w:t>
            </w:r>
            <w:proofErr w:type="spellEnd"/>
          </w:p>
        </w:tc>
      </w:tr>
      <w:tr w:rsidR="00817793" w14:paraId="2CF94817" w14:textId="77777777">
        <w:trPr>
          <w:trHeight w:val="454"/>
          <w:jc w:val="center"/>
        </w:trPr>
        <w:tc>
          <w:tcPr>
            <w:tcW w:w="1481" w:type="dxa"/>
            <w:shd w:val="clear" w:color="auto" w:fill="auto"/>
          </w:tcPr>
          <w:p w14:paraId="44161A09" w14:textId="77777777" w:rsidR="00817793" w:rsidRDefault="002719FC">
            <w:pPr>
              <w:spacing w:before="120" w:after="120" w:line="240" w:lineRule="auto"/>
              <w:jc w:val="center"/>
              <w:rPr>
                <w:b/>
              </w:rPr>
            </w:pPr>
            <w:r>
              <w:rPr>
                <w:b/>
              </w:rPr>
              <w:t>Revisores envolvidos</w:t>
            </w:r>
          </w:p>
        </w:tc>
        <w:tc>
          <w:tcPr>
            <w:tcW w:w="2268" w:type="dxa"/>
            <w:shd w:val="clear" w:color="auto" w:fill="auto"/>
          </w:tcPr>
          <w:p w14:paraId="57AB2946" w14:textId="77777777" w:rsidR="00817793" w:rsidRDefault="002719FC">
            <w:pPr>
              <w:spacing w:before="120" w:after="120" w:line="240" w:lineRule="auto"/>
              <w:jc w:val="center"/>
            </w:pPr>
            <w:r>
              <w:t>Dois revisores de modo independente</w:t>
            </w:r>
          </w:p>
        </w:tc>
        <w:tc>
          <w:tcPr>
            <w:tcW w:w="2663" w:type="dxa"/>
          </w:tcPr>
          <w:p w14:paraId="369EF20C" w14:textId="77777777" w:rsidR="00817793" w:rsidRDefault="002719FC">
            <w:pPr>
              <w:spacing w:before="120" w:after="120" w:line="240" w:lineRule="auto"/>
              <w:jc w:val="center"/>
            </w:pPr>
            <w:r>
              <w:t>Adequado</w:t>
            </w:r>
          </w:p>
        </w:tc>
        <w:tc>
          <w:tcPr>
            <w:tcW w:w="2723" w:type="dxa"/>
          </w:tcPr>
          <w:p w14:paraId="496F480B" w14:textId="77777777" w:rsidR="00817793" w:rsidRDefault="002719FC">
            <w:pPr>
              <w:spacing w:before="120" w:after="120" w:line="240" w:lineRule="auto"/>
              <w:jc w:val="center"/>
            </w:pPr>
            <w:r>
              <w:t>Um revisor</w:t>
            </w:r>
          </w:p>
        </w:tc>
      </w:tr>
      <w:tr w:rsidR="00817793" w14:paraId="7448AE54" w14:textId="77777777">
        <w:trPr>
          <w:trHeight w:val="454"/>
          <w:jc w:val="center"/>
        </w:trPr>
        <w:tc>
          <w:tcPr>
            <w:tcW w:w="1481" w:type="dxa"/>
            <w:tcBorders>
              <w:bottom w:val="single" w:sz="4" w:space="0" w:color="000000"/>
            </w:tcBorders>
            <w:shd w:val="clear" w:color="auto" w:fill="auto"/>
          </w:tcPr>
          <w:p w14:paraId="4558787D" w14:textId="77777777" w:rsidR="00817793" w:rsidRDefault="002719FC">
            <w:pPr>
              <w:spacing w:before="120" w:after="120" w:line="240" w:lineRule="auto"/>
              <w:jc w:val="center"/>
              <w:rPr>
                <w:b/>
              </w:rPr>
            </w:pPr>
            <w:r>
              <w:rPr>
                <w:b/>
              </w:rPr>
              <w:t>Resolução divergências</w:t>
            </w:r>
          </w:p>
        </w:tc>
        <w:tc>
          <w:tcPr>
            <w:tcW w:w="2268" w:type="dxa"/>
            <w:tcBorders>
              <w:bottom w:val="single" w:sz="4" w:space="0" w:color="000000"/>
            </w:tcBorders>
            <w:shd w:val="clear" w:color="auto" w:fill="auto"/>
          </w:tcPr>
          <w:p w14:paraId="2A0C21D5" w14:textId="77777777" w:rsidR="00817793" w:rsidRDefault="002719FC">
            <w:pPr>
              <w:spacing w:before="120" w:after="120" w:line="240" w:lineRule="auto"/>
              <w:jc w:val="center"/>
            </w:pPr>
            <w:r>
              <w:t>Terceiro revisor</w:t>
            </w:r>
          </w:p>
        </w:tc>
        <w:tc>
          <w:tcPr>
            <w:tcW w:w="2663" w:type="dxa"/>
            <w:tcBorders>
              <w:bottom w:val="single" w:sz="4" w:space="0" w:color="000000"/>
            </w:tcBorders>
          </w:tcPr>
          <w:p w14:paraId="7EEC206B" w14:textId="77777777" w:rsidR="00817793" w:rsidRDefault="002719FC">
            <w:pPr>
              <w:spacing w:before="120" w:after="120" w:line="240" w:lineRule="auto"/>
              <w:jc w:val="center"/>
            </w:pPr>
            <w:r>
              <w:t>Adequado</w:t>
            </w:r>
          </w:p>
        </w:tc>
        <w:tc>
          <w:tcPr>
            <w:tcW w:w="2723" w:type="dxa"/>
            <w:tcBorders>
              <w:bottom w:val="single" w:sz="4" w:space="0" w:color="000000"/>
            </w:tcBorders>
          </w:tcPr>
          <w:p w14:paraId="64A158E7" w14:textId="77777777" w:rsidR="00817793" w:rsidRDefault="002719FC">
            <w:pPr>
              <w:spacing w:before="120" w:after="120" w:line="240" w:lineRule="auto"/>
              <w:jc w:val="center"/>
            </w:pPr>
            <w:r>
              <w:t>Consenso com a equipe de especialistas</w:t>
            </w:r>
          </w:p>
        </w:tc>
      </w:tr>
      <w:tr w:rsidR="00817793" w14:paraId="30282D0B" w14:textId="77777777">
        <w:trPr>
          <w:trHeight w:val="454"/>
          <w:jc w:val="center"/>
        </w:trPr>
        <w:tc>
          <w:tcPr>
            <w:tcW w:w="9135" w:type="dxa"/>
            <w:gridSpan w:val="4"/>
            <w:tcBorders>
              <w:bottom w:val="single" w:sz="4" w:space="0" w:color="000000"/>
            </w:tcBorders>
            <w:shd w:val="clear" w:color="auto" w:fill="D9E2F3"/>
          </w:tcPr>
          <w:p w14:paraId="6C48AB75" w14:textId="77777777" w:rsidR="00817793" w:rsidRDefault="002719FC">
            <w:pPr>
              <w:spacing w:before="120" w:after="120" w:line="240" w:lineRule="auto"/>
              <w:jc w:val="center"/>
              <w:rPr>
                <w:b/>
                <w:highlight w:val="yellow"/>
              </w:rPr>
            </w:pPr>
            <w:r>
              <w:rPr>
                <w:b/>
              </w:rPr>
              <w:t>Extração de dados</w:t>
            </w:r>
          </w:p>
        </w:tc>
      </w:tr>
      <w:tr w:rsidR="00817793" w14:paraId="687F048E" w14:textId="77777777">
        <w:trPr>
          <w:trHeight w:val="454"/>
          <w:jc w:val="center"/>
        </w:trPr>
        <w:tc>
          <w:tcPr>
            <w:tcW w:w="1481" w:type="dxa"/>
            <w:shd w:val="clear" w:color="auto" w:fill="D9E2F3"/>
          </w:tcPr>
          <w:p w14:paraId="21F332D3" w14:textId="77777777" w:rsidR="00817793" w:rsidRDefault="002719FC">
            <w:pPr>
              <w:spacing w:before="120" w:after="120" w:line="240" w:lineRule="auto"/>
              <w:jc w:val="center"/>
              <w:rPr>
                <w:b/>
              </w:rPr>
            </w:pPr>
            <w:r>
              <w:rPr>
                <w:b/>
              </w:rPr>
              <w:t>Critérios</w:t>
            </w:r>
          </w:p>
        </w:tc>
        <w:tc>
          <w:tcPr>
            <w:tcW w:w="2268" w:type="dxa"/>
            <w:shd w:val="clear" w:color="auto" w:fill="D9E2F3"/>
          </w:tcPr>
          <w:p w14:paraId="3072A3A9" w14:textId="77777777" w:rsidR="00817793" w:rsidRDefault="002719FC">
            <w:pPr>
              <w:spacing w:before="120" w:after="120" w:line="240" w:lineRule="auto"/>
              <w:jc w:val="center"/>
              <w:rPr>
                <w:b/>
              </w:rPr>
            </w:pPr>
            <w:r>
              <w:rPr>
                <w:b/>
              </w:rPr>
              <w:t>Proponente</w:t>
            </w:r>
          </w:p>
        </w:tc>
        <w:tc>
          <w:tcPr>
            <w:tcW w:w="2663" w:type="dxa"/>
            <w:shd w:val="clear" w:color="auto" w:fill="D9E2F3"/>
          </w:tcPr>
          <w:p w14:paraId="705D93F9" w14:textId="77777777" w:rsidR="00817793" w:rsidRDefault="002719FC">
            <w:pPr>
              <w:spacing w:before="120" w:after="120" w:line="240" w:lineRule="auto"/>
              <w:jc w:val="center"/>
              <w:rPr>
                <w:b/>
              </w:rPr>
            </w:pPr>
            <w:r>
              <w:rPr>
                <w:b/>
              </w:rPr>
              <w:t>Análise da proposta</w:t>
            </w:r>
          </w:p>
        </w:tc>
        <w:tc>
          <w:tcPr>
            <w:tcW w:w="2723" w:type="dxa"/>
            <w:shd w:val="clear" w:color="auto" w:fill="D9E2F3"/>
          </w:tcPr>
          <w:p w14:paraId="16353A13" w14:textId="77777777" w:rsidR="00817793" w:rsidRDefault="002719FC">
            <w:pPr>
              <w:spacing w:before="120" w:after="120" w:line="240" w:lineRule="auto"/>
              <w:jc w:val="center"/>
              <w:rPr>
                <w:b/>
              </w:rPr>
            </w:pPr>
            <w:r>
              <w:rPr>
                <w:b/>
              </w:rPr>
              <w:t>Parecerista</w:t>
            </w:r>
          </w:p>
        </w:tc>
      </w:tr>
      <w:tr w:rsidR="00817793" w14:paraId="39EE1605" w14:textId="77777777">
        <w:trPr>
          <w:trHeight w:val="454"/>
          <w:jc w:val="center"/>
        </w:trPr>
        <w:tc>
          <w:tcPr>
            <w:tcW w:w="1481" w:type="dxa"/>
            <w:shd w:val="clear" w:color="auto" w:fill="auto"/>
          </w:tcPr>
          <w:p w14:paraId="7F7A95E6" w14:textId="77777777" w:rsidR="00817793" w:rsidRDefault="002719FC">
            <w:pPr>
              <w:spacing w:before="120" w:after="120" w:line="240" w:lineRule="auto"/>
              <w:jc w:val="center"/>
              <w:rPr>
                <w:b/>
              </w:rPr>
            </w:pPr>
            <w:r>
              <w:rPr>
                <w:b/>
              </w:rPr>
              <w:t>Organização dos dados</w:t>
            </w:r>
          </w:p>
        </w:tc>
        <w:tc>
          <w:tcPr>
            <w:tcW w:w="2268" w:type="dxa"/>
            <w:shd w:val="clear" w:color="auto" w:fill="auto"/>
          </w:tcPr>
          <w:p w14:paraId="4DFF457D" w14:textId="77777777" w:rsidR="00817793" w:rsidRDefault="002719FC">
            <w:pPr>
              <w:spacing w:before="120" w:after="120" w:line="240" w:lineRule="auto"/>
              <w:jc w:val="center"/>
            </w:pPr>
            <w:r>
              <w:t>Não informado</w:t>
            </w:r>
          </w:p>
        </w:tc>
        <w:tc>
          <w:tcPr>
            <w:tcW w:w="2663" w:type="dxa"/>
          </w:tcPr>
          <w:p w14:paraId="0E8D2724" w14:textId="77777777" w:rsidR="00817793" w:rsidRDefault="002719FC">
            <w:pPr>
              <w:spacing w:before="120" w:after="120" w:line="240" w:lineRule="auto"/>
              <w:jc w:val="center"/>
            </w:pPr>
            <w:r>
              <w:t>Inadequado</w:t>
            </w:r>
          </w:p>
        </w:tc>
        <w:tc>
          <w:tcPr>
            <w:tcW w:w="2723" w:type="dxa"/>
          </w:tcPr>
          <w:p w14:paraId="27CF9F05" w14:textId="77777777" w:rsidR="00817793" w:rsidRPr="00500F58" w:rsidRDefault="002719FC">
            <w:pPr>
              <w:spacing w:before="120" w:after="120" w:line="240" w:lineRule="auto"/>
              <w:jc w:val="center"/>
              <w:rPr>
                <w:b/>
                <w:i/>
                <w:iCs/>
              </w:rPr>
            </w:pPr>
            <w:r w:rsidRPr="00500F58">
              <w:rPr>
                <w:i/>
                <w:iCs/>
              </w:rPr>
              <w:t>On-line</w:t>
            </w:r>
          </w:p>
        </w:tc>
      </w:tr>
      <w:tr w:rsidR="00817793" w14:paraId="29FF1D6C" w14:textId="77777777">
        <w:trPr>
          <w:trHeight w:val="454"/>
          <w:jc w:val="center"/>
        </w:trPr>
        <w:tc>
          <w:tcPr>
            <w:tcW w:w="1481" w:type="dxa"/>
            <w:shd w:val="clear" w:color="auto" w:fill="auto"/>
          </w:tcPr>
          <w:p w14:paraId="507FE9E0" w14:textId="77777777" w:rsidR="00817793" w:rsidRDefault="002719FC">
            <w:pPr>
              <w:spacing w:before="120" w:after="120" w:line="240" w:lineRule="auto"/>
              <w:jc w:val="center"/>
              <w:rPr>
                <w:b/>
              </w:rPr>
            </w:pPr>
            <w:r>
              <w:rPr>
                <w:b/>
              </w:rPr>
              <w:t>Revisores envolvidos</w:t>
            </w:r>
          </w:p>
        </w:tc>
        <w:tc>
          <w:tcPr>
            <w:tcW w:w="2268" w:type="dxa"/>
            <w:shd w:val="clear" w:color="auto" w:fill="auto"/>
          </w:tcPr>
          <w:p w14:paraId="2237E059" w14:textId="77777777" w:rsidR="00817793" w:rsidRDefault="002719FC">
            <w:pPr>
              <w:spacing w:before="120" w:after="120" w:line="240" w:lineRule="auto"/>
              <w:jc w:val="center"/>
            </w:pPr>
            <w:r>
              <w:t>Dois revisores de modo independente</w:t>
            </w:r>
          </w:p>
        </w:tc>
        <w:tc>
          <w:tcPr>
            <w:tcW w:w="2663" w:type="dxa"/>
          </w:tcPr>
          <w:p w14:paraId="14BB5611" w14:textId="77777777" w:rsidR="00817793" w:rsidRDefault="002719FC">
            <w:pPr>
              <w:spacing w:before="120" w:after="120" w:line="240" w:lineRule="auto"/>
              <w:jc w:val="center"/>
            </w:pPr>
            <w:r>
              <w:t>Adequado</w:t>
            </w:r>
          </w:p>
        </w:tc>
        <w:tc>
          <w:tcPr>
            <w:tcW w:w="2723" w:type="dxa"/>
          </w:tcPr>
          <w:p w14:paraId="781426F0" w14:textId="77777777" w:rsidR="00817793" w:rsidRDefault="002719FC">
            <w:pPr>
              <w:spacing w:before="120" w:after="120" w:line="240" w:lineRule="auto"/>
              <w:jc w:val="center"/>
            </w:pPr>
            <w:r>
              <w:t>Um revisor</w:t>
            </w:r>
          </w:p>
        </w:tc>
      </w:tr>
      <w:tr w:rsidR="00817793" w14:paraId="488C8898" w14:textId="77777777">
        <w:trPr>
          <w:trHeight w:val="454"/>
          <w:jc w:val="center"/>
        </w:trPr>
        <w:tc>
          <w:tcPr>
            <w:tcW w:w="1481" w:type="dxa"/>
            <w:shd w:val="clear" w:color="auto" w:fill="auto"/>
          </w:tcPr>
          <w:p w14:paraId="6AF53D3D" w14:textId="77777777" w:rsidR="00817793" w:rsidRDefault="002719FC">
            <w:pPr>
              <w:spacing w:before="120" w:after="120" w:line="240" w:lineRule="auto"/>
              <w:jc w:val="center"/>
              <w:rPr>
                <w:b/>
              </w:rPr>
            </w:pPr>
            <w:r>
              <w:rPr>
                <w:b/>
              </w:rPr>
              <w:t>Resolução divergências</w:t>
            </w:r>
          </w:p>
        </w:tc>
        <w:tc>
          <w:tcPr>
            <w:tcW w:w="2268" w:type="dxa"/>
            <w:shd w:val="clear" w:color="auto" w:fill="auto"/>
          </w:tcPr>
          <w:p w14:paraId="26814D1D" w14:textId="77777777" w:rsidR="00817793" w:rsidRDefault="002719FC">
            <w:pPr>
              <w:spacing w:before="120" w:after="120" w:line="240" w:lineRule="auto"/>
              <w:jc w:val="center"/>
            </w:pPr>
            <w:r>
              <w:t>Terceiro revisor</w:t>
            </w:r>
          </w:p>
        </w:tc>
        <w:tc>
          <w:tcPr>
            <w:tcW w:w="2663" w:type="dxa"/>
          </w:tcPr>
          <w:p w14:paraId="256794C3" w14:textId="77777777" w:rsidR="00817793" w:rsidRDefault="002719FC">
            <w:pPr>
              <w:spacing w:before="120" w:after="120" w:line="240" w:lineRule="auto"/>
              <w:jc w:val="center"/>
            </w:pPr>
            <w:r>
              <w:t>Adequado</w:t>
            </w:r>
          </w:p>
        </w:tc>
        <w:tc>
          <w:tcPr>
            <w:tcW w:w="2723" w:type="dxa"/>
          </w:tcPr>
          <w:p w14:paraId="1A06FAC5" w14:textId="77777777" w:rsidR="00817793" w:rsidRDefault="002719FC">
            <w:pPr>
              <w:spacing w:before="120" w:after="120" w:line="240" w:lineRule="auto"/>
              <w:jc w:val="center"/>
              <w:rPr>
                <w:highlight w:val="yellow"/>
              </w:rPr>
            </w:pPr>
            <w:r>
              <w:t>Consenso com a equipe de especialistas</w:t>
            </w:r>
          </w:p>
        </w:tc>
      </w:tr>
    </w:tbl>
    <w:p w14:paraId="74869460" w14:textId="77777777" w:rsidR="00817793" w:rsidRDefault="00817793">
      <w:pPr>
        <w:rPr>
          <w:smallCaps/>
          <w:highlight w:val="cyan"/>
        </w:rPr>
      </w:pPr>
    </w:p>
    <w:tbl>
      <w:tblPr>
        <w:tblStyle w:val="ad"/>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3B60107" w14:textId="77777777">
        <w:trPr>
          <w:trHeight w:val="416"/>
        </w:trPr>
        <w:tc>
          <w:tcPr>
            <w:tcW w:w="9072" w:type="dxa"/>
            <w:shd w:val="clear" w:color="auto" w:fill="D9E2F3"/>
            <w:vAlign w:val="center"/>
          </w:tcPr>
          <w:p w14:paraId="71D508EC" w14:textId="77777777" w:rsidR="00817793" w:rsidRDefault="002719FC">
            <w:pPr>
              <w:spacing w:before="120" w:after="120" w:line="240" w:lineRule="auto"/>
              <w:jc w:val="center"/>
              <w:rPr>
                <w:b/>
              </w:rPr>
            </w:pPr>
            <w:r>
              <w:rPr>
                <w:b/>
              </w:rPr>
              <w:t>Comentários gerais sobre o</w:t>
            </w:r>
            <w:r>
              <w:t xml:space="preserve"> </w:t>
            </w:r>
            <w:r>
              <w:rPr>
                <w:b/>
              </w:rPr>
              <w:t>processo de seleção dos estudos e extração de dados</w:t>
            </w:r>
          </w:p>
        </w:tc>
      </w:tr>
      <w:tr w:rsidR="00817793" w14:paraId="5A8DC384" w14:textId="77777777">
        <w:trPr>
          <w:trHeight w:val="750"/>
        </w:trPr>
        <w:tc>
          <w:tcPr>
            <w:tcW w:w="9072" w:type="dxa"/>
            <w:vAlign w:val="center"/>
          </w:tcPr>
          <w:p w14:paraId="54F6E24D" w14:textId="77777777" w:rsidR="00817793" w:rsidRDefault="002719FC">
            <w:pPr>
              <w:spacing w:before="120" w:after="120" w:line="240" w:lineRule="auto"/>
            </w:pPr>
            <w:r>
              <w:t>O proponente não mencionou a plataforma utilizada para a realização da triagem e elegibilidade dos estudos, nem a forma de organização dos dados. Dessa forma, os pareceristas consideraram essa informação inadequada.</w:t>
            </w:r>
          </w:p>
          <w:p w14:paraId="5129D16E" w14:textId="77777777" w:rsidR="00817793" w:rsidRDefault="002719FC">
            <w:pPr>
              <w:spacing w:before="120" w:after="120" w:line="240" w:lineRule="auto"/>
            </w:pPr>
            <w:r>
              <w:t xml:space="preserve">Por sua vez, os pareceristas realizaram a triagem e seleção dos estudos na plataforma </w:t>
            </w:r>
            <w:proofErr w:type="spellStart"/>
            <w:r w:rsidRPr="00422D17">
              <w:rPr>
                <w:i/>
                <w:iCs/>
              </w:rPr>
              <w:t>Rayyan</w:t>
            </w:r>
            <w:proofErr w:type="spellEnd"/>
            <w:r w:rsidRPr="00422D17">
              <w:rPr>
                <w:i/>
                <w:iCs/>
              </w:rPr>
              <w:t xml:space="preserve"> </w:t>
            </w:r>
            <w:r>
              <w:t xml:space="preserve">e a organização dos dados em uma planilha no </w:t>
            </w:r>
            <w:r w:rsidRPr="00422D17">
              <w:rPr>
                <w:i/>
                <w:iCs/>
              </w:rPr>
              <w:t>Microsoft Excel.</w:t>
            </w:r>
          </w:p>
          <w:p w14:paraId="4E8FF642" w14:textId="77777777" w:rsidR="00817793" w:rsidRDefault="002719FC">
            <w:pPr>
              <w:spacing w:before="120" w:after="120" w:line="240" w:lineRule="auto"/>
            </w:pPr>
            <w:r>
              <w:t xml:space="preserve">Conforme recomendado nas Diretrizes Metodológicas - Elaboração de Pareceres Técnico-Científicos (1ª edição eletrônica com atualizações da 4ª edição impressa), o processo de seleção dos estudos precisa ser realizado de forma transparente e facilitado pelo uso de ferramentas gratuitas (exemplo: plataforma </w:t>
            </w:r>
            <w:proofErr w:type="spellStart"/>
            <w:r w:rsidRPr="00422D17">
              <w:rPr>
                <w:i/>
                <w:iCs/>
              </w:rPr>
              <w:t>Rayyan</w:t>
            </w:r>
            <w:proofErr w:type="spellEnd"/>
            <w:r>
              <w:t xml:space="preserve">) e comerciais (exemplos: </w:t>
            </w:r>
            <w:proofErr w:type="spellStart"/>
            <w:r w:rsidRPr="00422D17">
              <w:rPr>
                <w:i/>
                <w:iCs/>
              </w:rPr>
              <w:t>Covidence</w:t>
            </w:r>
            <w:proofErr w:type="spellEnd"/>
            <w:r w:rsidRPr="00422D17">
              <w:rPr>
                <w:i/>
                <w:iCs/>
              </w:rPr>
              <w:t>, EPPI-</w:t>
            </w:r>
            <w:proofErr w:type="spellStart"/>
            <w:r w:rsidRPr="00422D17">
              <w:rPr>
                <w:i/>
                <w:iCs/>
              </w:rPr>
              <w:t>Reviewer</w:t>
            </w:r>
            <w:proofErr w:type="spellEnd"/>
            <w:r>
              <w:t xml:space="preserve"> etc.). Além disso, é recomendado por este documento que as discordâncias sejam resolvidas por consenso ou por um </w:t>
            </w:r>
            <w:r>
              <w:lastRenderedPageBreak/>
              <w:t>terceiro avaliado (essa sugestão se estende tanto para a fase de triagem de títulos e resumos como para a fase de leitura completa).</w:t>
            </w:r>
          </w:p>
        </w:tc>
      </w:tr>
    </w:tbl>
    <w:p w14:paraId="187F57B8" w14:textId="77777777" w:rsidR="00817793" w:rsidRDefault="00817793">
      <w:pPr>
        <w:rPr>
          <w:smallCaps/>
          <w:highlight w:val="cyan"/>
        </w:rPr>
      </w:pPr>
    </w:p>
    <w:p w14:paraId="5B3F6A17" w14:textId="77777777" w:rsidR="00817793" w:rsidRDefault="002719FC">
      <w:pPr>
        <w:pStyle w:val="Ttulo3"/>
        <w:jc w:val="center"/>
      </w:pPr>
      <w:bookmarkStart w:id="26" w:name="_65nnsdhf8xlp" w:colFirst="0" w:colLast="0"/>
      <w:bookmarkEnd w:id="26"/>
      <w:r>
        <w:rPr>
          <w:b/>
        </w:rPr>
        <w:lastRenderedPageBreak/>
        <w:t>Figura 1.</w:t>
      </w:r>
      <w:r>
        <w:t xml:space="preserve"> Fluxograma da seleção dos estudos apresentado pelo PROPONENTE </w:t>
      </w:r>
    </w:p>
    <w:p w14:paraId="54738AF4" w14:textId="77777777" w:rsidR="00817793" w:rsidRDefault="002719FC">
      <w:pPr>
        <w:jc w:val="center"/>
        <w:rPr>
          <w:i/>
        </w:rPr>
      </w:pPr>
      <w:r>
        <w:rPr>
          <w:i/>
          <w:noProof/>
        </w:rPr>
        <w:drawing>
          <wp:inline distT="114300" distB="114300" distL="114300" distR="114300" wp14:anchorId="395B73D7" wp14:editId="07777777">
            <wp:extent cx="5759140" cy="7048500"/>
            <wp:effectExtent l="0" t="0" r="0" b="0"/>
            <wp:docPr id="1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759140" cy="7048500"/>
                    </a:xfrm>
                    <a:prstGeom prst="rect">
                      <a:avLst/>
                    </a:prstGeom>
                    <a:ln/>
                  </pic:spPr>
                </pic:pic>
              </a:graphicData>
            </a:graphic>
          </wp:inline>
        </w:drawing>
      </w:r>
    </w:p>
    <w:p w14:paraId="15A555E7" w14:textId="5B49084A" w:rsidR="00817793" w:rsidRDefault="00C234C1">
      <w:pPr>
        <w:pStyle w:val="Ttulo3"/>
        <w:jc w:val="center"/>
      </w:pPr>
      <w:bookmarkStart w:id="27" w:name="_l4t8iwd4i6u4" w:colFirst="0" w:colLast="0"/>
      <w:bookmarkEnd w:id="27"/>
      <w:r>
        <w:rPr>
          <w:noProof/>
        </w:rPr>
        <w:lastRenderedPageBreak/>
        <mc:AlternateContent>
          <mc:Choice Requires="wps">
            <w:drawing>
              <wp:anchor distT="0" distB="0" distL="114300" distR="114300" simplePos="0" relativeHeight="251658243" behindDoc="0" locked="0" layoutInCell="1" hidden="0" allowOverlap="1" wp14:anchorId="67258E4E" wp14:editId="25F7071E">
                <wp:simplePos x="0" y="0"/>
                <wp:positionH relativeFrom="column">
                  <wp:posOffset>4122420</wp:posOffset>
                </wp:positionH>
                <wp:positionV relativeFrom="paragraph">
                  <wp:posOffset>5494020</wp:posOffset>
                </wp:positionV>
                <wp:extent cx="1652905" cy="533400"/>
                <wp:effectExtent l="0" t="0" r="23495" b="19050"/>
                <wp:wrapSquare wrapText="bothSides" distT="0" distB="0" distL="114300" distR="114300"/>
                <wp:docPr id="4" name="Forma Livre: Forma 4"/>
                <wp:cNvGraphicFramePr/>
                <a:graphic xmlns:a="http://schemas.openxmlformats.org/drawingml/2006/main">
                  <a:graphicData uri="http://schemas.microsoft.com/office/word/2010/wordprocessingShape">
                    <wps:wsp>
                      <wps:cNvSpPr/>
                      <wps:spPr>
                        <a:xfrm>
                          <a:off x="0" y="0"/>
                          <a:ext cx="1652905" cy="533400"/>
                        </a:xfrm>
                        <a:custGeom>
                          <a:avLst/>
                          <a:gdLst/>
                          <a:ahLst/>
                          <a:cxnLst/>
                          <a:rect l="l" t="t" r="r" b="b"/>
                          <a:pathLst>
                            <a:path w="1836420" h="733425" extrusionOk="0">
                              <a:moveTo>
                                <a:pt x="0" y="0"/>
                              </a:moveTo>
                              <a:lnTo>
                                <a:pt x="0" y="733425"/>
                              </a:lnTo>
                              <a:lnTo>
                                <a:pt x="1836420" y="733425"/>
                              </a:lnTo>
                              <a:lnTo>
                                <a:pt x="183642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03DE3700" w14:textId="77777777" w:rsidR="00817793" w:rsidRDefault="002719FC">
                            <w:pPr>
                              <w:spacing w:before="0" w:after="0" w:line="240" w:lineRule="auto"/>
                              <w:jc w:val="center"/>
                              <w:textDirection w:val="btLr"/>
                            </w:pPr>
                            <w:r>
                              <w:rPr>
                                <w:color w:val="000000"/>
                              </w:rPr>
                              <w:t xml:space="preserve">Referências excluídas </w:t>
                            </w:r>
                          </w:p>
                          <w:p w14:paraId="570F2720" w14:textId="77777777" w:rsidR="00817793" w:rsidRDefault="002719FC">
                            <w:pPr>
                              <w:spacing w:before="0" w:after="0" w:line="240" w:lineRule="auto"/>
                              <w:jc w:val="center"/>
                              <w:textDirection w:val="btLr"/>
                            </w:pPr>
                            <w:r>
                              <w:rPr>
                                <w:color w:val="000000"/>
                              </w:rPr>
                              <w:t>(n = 7)</w:t>
                            </w:r>
                          </w:p>
                        </w:txbxContent>
                      </wps:txbx>
                      <wps:bodyPr spcFirstLastPara="1" wrap="square" lIns="88900" tIns="45700" rIns="88900" bIns="4570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58E4E" id="Forma Livre: Forma 4" o:spid="_x0000_s1027" style="position:absolute;left:0;text-align:left;margin-left:324.6pt;margin-top:432.6pt;width:130.15pt;height: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36420,7334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" adj="-11796480,,5400" path="m,l,733425r1836420,l1836420,,,xe" strokeweight="1pt">
                <v:stroke startarrowwidth="narrow" startarrowlength="short" endarrowwidth="narrow" endarrowlength="short" miterlimit="5243f" joinstyle="miter"/>
                <v:formulas/>
                <v:path arrowok="t" o:extrusionok="f" o:connecttype="custom" textboxrect="0,0,1836420,733425"/>
                <v:textbox inset="7pt,1.2694mm,7pt,1.2694mm">
                  <w:txbxContent>
                    <w:p w14:paraId="03DE3700" w14:textId="77777777" w:rsidR="00817793" w:rsidRDefault="002719FC">
                      <w:pPr>
                        <w:spacing w:before="0" w:after="0" w:line="240" w:lineRule="auto"/>
                        <w:jc w:val="center"/>
                        <w:textDirection w:val="btLr"/>
                      </w:pPr>
                      <w:r>
                        <w:rPr>
                          <w:color w:val="000000"/>
                        </w:rPr>
                        <w:t xml:space="preserve">Referências excluídas </w:t>
                      </w:r>
                    </w:p>
                    <w:p w14:paraId="570F2720" w14:textId="77777777" w:rsidR="00817793" w:rsidRDefault="002719FC">
                      <w:pPr>
                        <w:spacing w:before="0" w:after="0" w:line="240" w:lineRule="auto"/>
                        <w:jc w:val="center"/>
                        <w:textDirection w:val="btLr"/>
                      </w:pPr>
                      <w:r>
                        <w:rPr>
                          <w:color w:val="000000"/>
                        </w:rPr>
                        <w:t>(n = 7)</w:t>
                      </w:r>
                    </w:p>
                  </w:txbxContent>
                </v:textbox>
                <w10:wrap type="square"/>
              </v:shape>
            </w:pict>
          </mc:Fallback>
        </mc:AlternateContent>
      </w:r>
      <w:r>
        <w:rPr>
          <w:noProof/>
        </w:rPr>
        <mc:AlternateContent>
          <mc:Choice Requires="wps">
            <w:drawing>
              <wp:anchor distT="0" distB="0" distL="114300" distR="114300" simplePos="0" relativeHeight="251658244" behindDoc="0" locked="0" layoutInCell="1" hidden="0" allowOverlap="1" wp14:anchorId="27A4E772" wp14:editId="6467BD51">
                <wp:simplePos x="0" y="0"/>
                <wp:positionH relativeFrom="column">
                  <wp:posOffset>2147571</wp:posOffset>
                </wp:positionH>
                <wp:positionV relativeFrom="paragraph">
                  <wp:posOffset>6772177</wp:posOffset>
                </wp:positionV>
                <wp:extent cx="1424354" cy="633046"/>
                <wp:effectExtent l="0" t="0" r="23495" b="15240"/>
                <wp:wrapNone/>
                <wp:docPr id="3" name="Retângulo 3"/>
                <wp:cNvGraphicFramePr/>
                <a:graphic xmlns:a="http://schemas.openxmlformats.org/drawingml/2006/main">
                  <a:graphicData uri="http://schemas.microsoft.com/office/word/2010/wordprocessingShape">
                    <wps:wsp>
                      <wps:cNvSpPr/>
                      <wps:spPr>
                        <a:xfrm>
                          <a:off x="0" y="0"/>
                          <a:ext cx="1424354" cy="633046"/>
                        </a:xfrm>
                        <a:prstGeom prst="rect">
                          <a:avLst/>
                        </a:prstGeom>
                        <a:solidFill>
                          <a:srgbClr val="FFFFFF"/>
                        </a:solidFill>
                        <a:ln w="12700" cap="flat" cmpd="sng">
                          <a:solidFill>
                            <a:srgbClr val="000000"/>
                          </a:solidFill>
                          <a:prstDash val="solid"/>
                          <a:round/>
                          <a:headEnd type="none" w="sm" len="sm"/>
                          <a:tailEnd type="none" w="sm" len="sm"/>
                        </a:ln>
                      </wps:spPr>
                      <wps:txbx>
                        <w:txbxContent>
                          <w:p w14:paraId="1C72062B" w14:textId="77777777" w:rsidR="00817793" w:rsidRDefault="002719FC">
                            <w:pPr>
                              <w:spacing w:before="0" w:after="0" w:line="240" w:lineRule="auto"/>
                              <w:jc w:val="center"/>
                              <w:textDirection w:val="btLr"/>
                            </w:pPr>
                            <w:r>
                              <w:rPr>
                                <w:color w:val="000000"/>
                              </w:rPr>
                              <w:t>Estudos incluídos:</w:t>
                            </w:r>
                          </w:p>
                          <w:p w14:paraId="607AC487" w14:textId="77777777" w:rsidR="00817793" w:rsidRDefault="002719FC">
                            <w:pPr>
                              <w:spacing w:before="0" w:after="0" w:line="240" w:lineRule="auto"/>
                              <w:jc w:val="center"/>
                              <w:textDirection w:val="btLr"/>
                            </w:pPr>
                            <w:r>
                              <w:rPr>
                                <w:color w:val="000000"/>
                              </w:rPr>
                              <w:t>n=0 (*)</w:t>
                            </w:r>
                          </w:p>
                          <w:p w14:paraId="24722BC1" w14:textId="77777777" w:rsidR="00817793" w:rsidRDefault="002719FC">
                            <w:pPr>
                              <w:spacing w:before="0" w:after="0" w:line="240" w:lineRule="auto"/>
                              <w:jc w:val="center"/>
                              <w:textDirection w:val="btLr"/>
                            </w:pPr>
                            <w:r>
                              <w:rPr>
                                <w:color w:val="000000"/>
                              </w:rPr>
                              <w:t>n=3(**)</w:t>
                            </w:r>
                          </w:p>
                        </w:txbxContent>
                      </wps:txbx>
                      <wps:bodyPr spcFirstLastPara="1" wrap="square" lIns="88900" tIns="38100" rIns="88900" bIns="38100" anchor="t" anchorCtr="0">
                        <a:noAutofit/>
                      </wps:bodyPr>
                    </wps:wsp>
                  </a:graphicData>
                </a:graphic>
                <wp14:sizeRelH relativeFrom="margin">
                  <wp14:pctWidth>0</wp14:pctWidth>
                </wp14:sizeRelH>
                <wp14:sizeRelV relativeFrom="margin">
                  <wp14:pctHeight>0</wp14:pctHeight>
                </wp14:sizeRelV>
              </wp:anchor>
            </w:drawing>
          </mc:Choice>
          <mc:Fallback>
            <w:pict>
              <v:rect w14:anchorId="27A4E772" id="Retângulo 3" o:spid="_x0000_s1028" style="position:absolute;left:0;text-align:left;margin-left:169.1pt;margin-top:533.25pt;width:112.15pt;height:4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" strokeweight="1pt">
                <v:stroke startarrowwidth="narrow" startarrowlength="short" endarrowwidth="narrow" endarrowlength="short" joinstyle="round"/>
                <v:textbox inset="7pt,3pt,7pt,3pt">
                  <w:txbxContent>
                    <w:p w14:paraId="1C72062B" w14:textId="77777777" w:rsidR="00817793" w:rsidRDefault="002719FC">
                      <w:pPr>
                        <w:spacing w:before="0" w:after="0" w:line="240" w:lineRule="auto"/>
                        <w:jc w:val="center"/>
                        <w:textDirection w:val="btLr"/>
                      </w:pPr>
                      <w:r>
                        <w:rPr>
                          <w:color w:val="000000"/>
                        </w:rPr>
                        <w:t>Estudos incluídos:</w:t>
                      </w:r>
                    </w:p>
                    <w:p w14:paraId="607AC487" w14:textId="77777777" w:rsidR="00817793" w:rsidRDefault="002719FC">
                      <w:pPr>
                        <w:spacing w:before="0" w:after="0" w:line="240" w:lineRule="auto"/>
                        <w:jc w:val="center"/>
                        <w:textDirection w:val="btLr"/>
                      </w:pPr>
                      <w:r>
                        <w:rPr>
                          <w:color w:val="000000"/>
                        </w:rPr>
                        <w:t>n=0 (*)</w:t>
                      </w:r>
                    </w:p>
                    <w:p w14:paraId="24722BC1" w14:textId="77777777" w:rsidR="00817793" w:rsidRDefault="002719FC">
                      <w:pPr>
                        <w:spacing w:before="0" w:after="0" w:line="240" w:lineRule="auto"/>
                        <w:jc w:val="center"/>
                        <w:textDirection w:val="btLr"/>
                      </w:pPr>
                      <w:r>
                        <w:rPr>
                          <w:color w:val="000000"/>
                        </w:rPr>
                        <w:t>n=3(**)</w:t>
                      </w:r>
                    </w:p>
                  </w:txbxContent>
                </v:textbox>
              </v:rect>
            </w:pict>
          </mc:Fallback>
        </mc:AlternateContent>
      </w:r>
      <w:r w:rsidR="00B93FE8">
        <w:rPr>
          <w:noProof/>
        </w:rPr>
        <mc:AlternateContent>
          <mc:Choice Requires="wpg">
            <w:drawing>
              <wp:anchor distT="0" distB="0" distL="114300" distR="114300" simplePos="0" relativeHeight="251658242" behindDoc="0" locked="0" layoutInCell="1" hidden="0" allowOverlap="1" wp14:anchorId="32C2650F" wp14:editId="6F5F0DE8">
                <wp:simplePos x="0" y="0"/>
                <wp:positionH relativeFrom="column">
                  <wp:posOffset>-420370</wp:posOffset>
                </wp:positionH>
                <wp:positionV relativeFrom="paragraph">
                  <wp:posOffset>230505</wp:posOffset>
                </wp:positionV>
                <wp:extent cx="6611620" cy="7397115"/>
                <wp:effectExtent l="0" t="0" r="0" b="0"/>
                <wp:wrapSquare wrapText="bothSides" distT="0" distB="0" distL="114300" distR="114300"/>
                <wp:docPr id="1" name="Agrupar 1"/>
                <wp:cNvGraphicFramePr/>
                <a:graphic xmlns:a="http://schemas.openxmlformats.org/drawingml/2006/main">
                  <a:graphicData uri="http://schemas.microsoft.com/office/word/2010/wordprocessingGroup">
                    <wpg:wgp>
                      <wpg:cNvGrpSpPr/>
                      <wpg:grpSpPr>
                        <a:xfrm>
                          <a:off x="0" y="0"/>
                          <a:ext cx="6611620" cy="7397115"/>
                          <a:chOff x="1982567" y="82713"/>
                          <a:chExt cx="6682926" cy="7466716"/>
                        </a:xfrm>
                      </wpg:grpSpPr>
                      <wpg:grpSp>
                        <wpg:cNvPr id="836082696" name="Agrupar 836082696"/>
                        <wpg:cNvGrpSpPr/>
                        <wpg:grpSpPr>
                          <a:xfrm>
                            <a:off x="1982567" y="82713"/>
                            <a:ext cx="6682926" cy="7466716"/>
                            <a:chOff x="-58259" y="0"/>
                            <a:chExt cx="6682926" cy="7466716"/>
                          </a:xfrm>
                        </wpg:grpSpPr>
                        <wps:wsp>
                          <wps:cNvPr id="978026421" name="Retângulo 978026421"/>
                          <wps:cNvSpPr/>
                          <wps:spPr>
                            <a:xfrm>
                              <a:off x="0" y="0"/>
                              <a:ext cx="6624667" cy="7466716"/>
                            </a:xfrm>
                            <a:prstGeom prst="rect">
                              <a:avLst/>
                            </a:prstGeom>
                            <a:noFill/>
                            <a:ln>
                              <a:noFill/>
                            </a:ln>
                          </wps:spPr>
                          <wps:txbx>
                            <w:txbxContent>
                              <w:p w14:paraId="06BBA33E" w14:textId="77777777" w:rsidR="00817793" w:rsidRDefault="00817793">
                                <w:pPr>
                                  <w:spacing w:before="0" w:after="0" w:line="240" w:lineRule="auto"/>
                                  <w:jc w:val="left"/>
                                  <w:textDirection w:val="btLr"/>
                                </w:pPr>
                              </w:p>
                            </w:txbxContent>
                          </wps:txbx>
                          <wps:bodyPr spcFirstLastPara="1" wrap="square" lIns="91425" tIns="91425" rIns="91425" bIns="91425" anchor="ctr" anchorCtr="0">
                            <a:noAutofit/>
                          </wps:bodyPr>
                        </wps:wsp>
                        <wps:wsp>
                          <wps:cNvPr id="767532197" name="Retângulo: Cantos Arredondados 767532197"/>
                          <wps:cNvSpPr/>
                          <wps:spPr>
                            <a:xfrm rot="-5400000">
                              <a:off x="-251908" y="6364950"/>
                              <a:ext cx="1116939" cy="729642"/>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0CA4FBE2" w14:textId="77777777" w:rsidR="00817793" w:rsidRDefault="002719FC">
                                <w:pPr>
                                  <w:jc w:val="center"/>
                                  <w:textDirection w:val="btLr"/>
                                </w:pPr>
                                <w:r>
                                  <w:rPr>
                                    <w:b/>
                                    <w:color w:val="000000"/>
                                  </w:rPr>
                                  <w:t>Inclusão</w:t>
                                </w:r>
                              </w:p>
                            </w:txbxContent>
                          </wps:txbx>
                          <wps:bodyPr spcFirstLastPara="1" wrap="square" lIns="88900" tIns="38100" rIns="88900" bIns="38100" anchor="t" anchorCtr="0">
                            <a:noAutofit/>
                          </wps:bodyPr>
                        </wps:wsp>
                        <wps:wsp>
                          <wps:cNvPr id="298886890" name="Retângulo: Cantos Arredondados 298886890"/>
                          <wps:cNvSpPr/>
                          <wps:spPr>
                            <a:xfrm rot="-5400000">
                              <a:off x="-523267" y="4604973"/>
                              <a:ext cx="1675409" cy="710893"/>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5947EBCC" w14:textId="77777777" w:rsidR="00817793" w:rsidRDefault="002719FC">
                                <w:pPr>
                                  <w:jc w:val="center"/>
                                  <w:textDirection w:val="btLr"/>
                                </w:pPr>
                                <w:r>
                                  <w:rPr>
                                    <w:b/>
                                    <w:color w:val="000000"/>
                                  </w:rPr>
                                  <w:t>Elegibilidade</w:t>
                                </w:r>
                              </w:p>
                            </w:txbxContent>
                          </wps:txbx>
                          <wps:bodyPr spcFirstLastPara="1" wrap="square" lIns="88900" tIns="38100" rIns="88900" bIns="38100" anchor="t" anchorCtr="0">
                            <a:noAutofit/>
                          </wps:bodyPr>
                        </wps:wsp>
                        <wps:wsp>
                          <wps:cNvPr id="1228998473" name="Retângulo 1228998473"/>
                          <wps:cNvSpPr/>
                          <wps:spPr>
                            <a:xfrm>
                              <a:off x="2126242" y="4110117"/>
                              <a:ext cx="2148199" cy="833329"/>
                            </a:xfrm>
                            <a:prstGeom prst="rect">
                              <a:avLst/>
                            </a:prstGeom>
                            <a:solidFill>
                              <a:srgbClr val="FFFFFF"/>
                            </a:solidFill>
                            <a:ln w="12700" cap="flat" cmpd="sng">
                              <a:solidFill>
                                <a:srgbClr val="000000"/>
                              </a:solidFill>
                              <a:prstDash val="solid"/>
                              <a:round/>
                              <a:headEnd type="none" w="sm" len="sm"/>
                              <a:tailEnd type="none" w="sm" len="sm"/>
                            </a:ln>
                          </wps:spPr>
                          <wps:txbx>
                            <w:txbxContent>
                              <w:p w14:paraId="39B6CE78" w14:textId="77777777" w:rsidR="00817793" w:rsidRDefault="002719FC">
                                <w:pPr>
                                  <w:spacing w:before="0" w:after="0" w:line="240" w:lineRule="auto"/>
                                  <w:jc w:val="center"/>
                                  <w:textDirection w:val="btLr"/>
                                </w:pPr>
                                <w:r>
                                  <w:rPr>
                                    <w:color w:val="000000"/>
                                  </w:rPr>
                                  <w:t>Referências selecionadas para avaliação do texto completo</w:t>
                                </w:r>
                              </w:p>
                              <w:p w14:paraId="1289AF5C" w14:textId="77777777" w:rsidR="00817793" w:rsidRDefault="002719FC">
                                <w:pPr>
                                  <w:spacing w:before="0" w:after="0" w:line="240" w:lineRule="auto"/>
                                  <w:jc w:val="center"/>
                                  <w:textDirection w:val="btLr"/>
                                </w:pPr>
                                <w:r>
                                  <w:rPr>
                                    <w:color w:val="000000"/>
                                  </w:rPr>
                                  <w:t>(n = 10)</w:t>
                                </w:r>
                              </w:p>
                            </w:txbxContent>
                          </wps:txbx>
                          <wps:bodyPr spcFirstLastPara="1" wrap="square" lIns="88900" tIns="38100" rIns="88900" bIns="38100" anchor="t" anchorCtr="0">
                            <a:noAutofit/>
                          </wps:bodyPr>
                        </wps:wsp>
                        <wps:wsp>
                          <wps:cNvPr id="324058918" name="Forma Livre: Forma 324058918"/>
                          <wps:cNvSpPr/>
                          <wps:spPr>
                            <a:xfrm>
                              <a:off x="3104161" y="5151104"/>
                              <a:ext cx="0" cy="1313413"/>
                            </a:xfrm>
                            <a:custGeom>
                              <a:avLst/>
                              <a:gdLst/>
                              <a:ahLst/>
                              <a:cxnLst/>
                              <a:rect l="l" t="t" r="r" b="b"/>
                              <a:pathLst>
                                <a:path w="1" h="1313413" extrusionOk="0">
                                  <a:moveTo>
                                    <a:pt x="0" y="0"/>
                                  </a:moveTo>
                                  <a:lnTo>
                                    <a:pt x="0" y="1313413"/>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585682877" name="Forma Livre: Forma 1585682877"/>
                          <wps:cNvSpPr/>
                          <wps:spPr>
                            <a:xfrm>
                              <a:off x="3104161" y="5709166"/>
                              <a:ext cx="1295697" cy="0"/>
                            </a:xfrm>
                            <a:custGeom>
                              <a:avLst/>
                              <a:gdLst/>
                              <a:ahLst/>
                              <a:cxnLst/>
                              <a:rect l="l" t="t" r="r" b="b"/>
                              <a:pathLst>
                                <a:path w="1295697" h="1" extrusionOk="0">
                                  <a:moveTo>
                                    <a:pt x="0" y="0"/>
                                  </a:moveTo>
                                  <a:lnTo>
                                    <a:pt x="1295697" y="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602840034" name="Retângulo: Cantos Arredondados 1602840034"/>
                          <wps:cNvSpPr/>
                          <wps:spPr>
                            <a:xfrm rot="-5400000">
                              <a:off x="-494150" y="2536208"/>
                              <a:ext cx="1623142" cy="703792"/>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5C69FACC" w14:textId="77777777" w:rsidR="00817793" w:rsidRDefault="002719FC">
                                <w:pPr>
                                  <w:jc w:val="center"/>
                                  <w:textDirection w:val="btLr"/>
                                </w:pPr>
                                <w:r>
                                  <w:rPr>
                                    <w:b/>
                                    <w:color w:val="000000"/>
                                  </w:rPr>
                                  <w:t>Triagem</w:t>
                                </w:r>
                              </w:p>
                            </w:txbxContent>
                          </wps:txbx>
                          <wps:bodyPr spcFirstLastPara="1" wrap="square" lIns="88900" tIns="38100" rIns="88900" bIns="38100" anchor="t" anchorCtr="0">
                            <a:noAutofit/>
                          </wps:bodyPr>
                        </wps:wsp>
                        <wps:wsp>
                          <wps:cNvPr id="820509585" name="Retângulo: Cantos Arredondados 820509585"/>
                          <wps:cNvSpPr/>
                          <wps:spPr>
                            <a:xfrm rot="-5400000">
                              <a:off x="-473148" y="587748"/>
                              <a:ext cx="1528751" cy="644278"/>
                            </a:xfrm>
                            <a:prstGeom prst="roundRect">
                              <a:avLst>
                                <a:gd name="adj" fmla="val 16667"/>
                              </a:avLst>
                            </a:prstGeom>
                            <a:solidFill>
                              <a:srgbClr val="D9E2F3"/>
                            </a:solidFill>
                            <a:ln w="12700" cap="flat" cmpd="sng">
                              <a:solidFill>
                                <a:srgbClr val="000000"/>
                              </a:solidFill>
                              <a:prstDash val="solid"/>
                              <a:round/>
                              <a:headEnd type="none" w="sm" len="sm"/>
                              <a:tailEnd type="none" w="sm" len="sm"/>
                            </a:ln>
                          </wps:spPr>
                          <wps:txbx>
                            <w:txbxContent>
                              <w:p w14:paraId="5E084887" w14:textId="77777777" w:rsidR="00817793" w:rsidRDefault="002719FC">
                                <w:pPr>
                                  <w:jc w:val="center"/>
                                  <w:textDirection w:val="btLr"/>
                                </w:pPr>
                                <w:r>
                                  <w:rPr>
                                    <w:b/>
                                    <w:color w:val="000000"/>
                                  </w:rPr>
                                  <w:t>Identificação</w:t>
                                </w:r>
                              </w:p>
                            </w:txbxContent>
                          </wps:txbx>
                          <wps:bodyPr spcFirstLastPara="1" wrap="square" lIns="88900" tIns="38100" rIns="88900" bIns="38100" anchor="t" anchorCtr="0">
                            <a:noAutofit/>
                          </wps:bodyPr>
                        </wps:wsp>
                        <wps:wsp>
                          <wps:cNvPr id="1156759011" name="Retângulo 1156759011"/>
                          <wps:cNvSpPr/>
                          <wps:spPr>
                            <a:xfrm>
                              <a:off x="4844129" y="3236875"/>
                              <a:ext cx="1766220" cy="665584"/>
                            </a:xfrm>
                            <a:prstGeom prst="rect">
                              <a:avLst/>
                            </a:prstGeom>
                            <a:solidFill>
                              <a:srgbClr val="FFFFFF"/>
                            </a:solidFill>
                            <a:ln w="12700" cap="flat" cmpd="sng">
                              <a:solidFill>
                                <a:srgbClr val="000000"/>
                              </a:solidFill>
                              <a:prstDash val="solid"/>
                              <a:round/>
                              <a:headEnd type="none" w="sm" len="sm"/>
                              <a:tailEnd type="none" w="sm" len="sm"/>
                            </a:ln>
                          </wps:spPr>
                          <wps:txbx>
                            <w:txbxContent>
                              <w:p w14:paraId="0D08924D" w14:textId="77777777" w:rsidR="00817793" w:rsidRDefault="002719FC">
                                <w:pPr>
                                  <w:spacing w:before="0" w:after="0" w:line="240" w:lineRule="auto"/>
                                  <w:jc w:val="center"/>
                                  <w:textDirection w:val="btLr"/>
                                </w:pPr>
                                <w:r>
                                  <w:rPr>
                                    <w:color w:val="000000"/>
                                  </w:rPr>
                                  <w:t>Referências eliminadas</w:t>
                                </w:r>
                              </w:p>
                              <w:p w14:paraId="681E4E36" w14:textId="77777777" w:rsidR="00817793" w:rsidRDefault="002719FC">
                                <w:pPr>
                                  <w:spacing w:before="0" w:after="0" w:line="240" w:lineRule="auto"/>
                                  <w:jc w:val="center"/>
                                  <w:textDirection w:val="btLr"/>
                                </w:pPr>
                                <w:r>
                                  <w:rPr>
                                    <w:color w:val="000000"/>
                                  </w:rPr>
                                  <w:t>(n = 543)</w:t>
                                </w:r>
                              </w:p>
                            </w:txbxContent>
                          </wps:txbx>
                          <wps:bodyPr spcFirstLastPara="1" wrap="square" lIns="88900" tIns="38100" rIns="88900" bIns="38100" anchor="t" anchorCtr="0">
                            <a:noAutofit/>
                          </wps:bodyPr>
                        </wps:wsp>
                        <wps:wsp>
                          <wps:cNvPr id="246302164" name="Forma Livre: Forma 246302164"/>
                          <wps:cNvSpPr/>
                          <wps:spPr>
                            <a:xfrm>
                              <a:off x="3176237" y="3154352"/>
                              <a:ext cx="596" cy="898098"/>
                            </a:xfrm>
                            <a:custGeom>
                              <a:avLst/>
                              <a:gdLst/>
                              <a:ahLst/>
                              <a:cxnLst/>
                              <a:rect l="l" t="t" r="r" b="b"/>
                              <a:pathLst>
                                <a:path w="596" h="898098" extrusionOk="0">
                                  <a:moveTo>
                                    <a:pt x="0" y="0"/>
                                  </a:moveTo>
                                  <a:lnTo>
                                    <a:pt x="596" y="898098"/>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175387686" name="Forma Livre: Forma 1175387686"/>
                          <wps:cNvSpPr/>
                          <wps:spPr>
                            <a:xfrm rot="10800000" flipH="1">
                              <a:off x="3176595" y="3569667"/>
                              <a:ext cx="1667533" cy="3550"/>
                            </a:xfrm>
                            <a:custGeom>
                              <a:avLst/>
                              <a:gdLst/>
                              <a:ahLst/>
                              <a:cxnLst/>
                              <a:rect l="l" t="t" r="r" b="b"/>
                              <a:pathLst>
                                <a:path w="1667533" h="3550" extrusionOk="0">
                                  <a:moveTo>
                                    <a:pt x="0" y="0"/>
                                  </a:moveTo>
                                  <a:lnTo>
                                    <a:pt x="1667533" y="355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97668692" name="Retângulo 97668692"/>
                          <wps:cNvSpPr/>
                          <wps:spPr>
                            <a:xfrm>
                              <a:off x="613004" y="78972"/>
                              <a:ext cx="2377196" cy="1121096"/>
                            </a:xfrm>
                            <a:prstGeom prst="rect">
                              <a:avLst/>
                            </a:prstGeom>
                            <a:solidFill>
                              <a:srgbClr val="FFFFFF"/>
                            </a:solidFill>
                            <a:ln w="12700" cap="flat" cmpd="sng">
                              <a:solidFill>
                                <a:srgbClr val="000000"/>
                              </a:solidFill>
                              <a:prstDash val="solid"/>
                              <a:round/>
                              <a:headEnd type="none" w="sm" len="sm"/>
                              <a:tailEnd type="none" w="sm" len="sm"/>
                            </a:ln>
                          </wps:spPr>
                          <wps:txbx>
                            <w:txbxContent>
                              <w:p w14:paraId="2B845ED1" w14:textId="77777777" w:rsidR="00817793" w:rsidRDefault="002719FC">
                                <w:pPr>
                                  <w:spacing w:before="0" w:after="0" w:line="240" w:lineRule="auto"/>
                                  <w:jc w:val="center"/>
                                  <w:textDirection w:val="btLr"/>
                                </w:pPr>
                                <w:r>
                                  <w:rPr>
                                    <w:color w:val="000000"/>
                                  </w:rPr>
                                  <w:t>Referências identificadas na busca eletrônica</w:t>
                                </w:r>
                              </w:p>
                              <w:p w14:paraId="2EC264D8" w14:textId="77777777" w:rsidR="00817793" w:rsidRDefault="002719FC">
                                <w:pPr>
                                  <w:spacing w:before="0" w:after="0" w:line="240" w:lineRule="auto"/>
                                  <w:jc w:val="center"/>
                                  <w:textDirection w:val="btLr"/>
                                </w:pPr>
                                <w:r>
                                  <w:rPr>
                                    <w:color w:val="000000"/>
                                  </w:rPr>
                                  <w:t>(n = 789)</w:t>
                                </w:r>
                              </w:p>
                              <w:p w14:paraId="5367814F" w14:textId="165C8D62" w:rsidR="00817793" w:rsidRDefault="002719FC">
                                <w:pPr>
                                  <w:spacing w:before="0" w:after="0" w:line="240" w:lineRule="auto"/>
                                  <w:jc w:val="center"/>
                                  <w:textDirection w:val="btLr"/>
                                </w:pPr>
                                <w:r>
                                  <w:rPr>
                                    <w:color w:val="000000"/>
                                    <w:sz w:val="18"/>
                                  </w:rPr>
                                  <w:t xml:space="preserve">MEDLINE (n = </w:t>
                                </w:r>
                                <w:r>
                                  <w:rPr>
                                    <w:color w:val="000000"/>
                                  </w:rPr>
                                  <w:t>256</w:t>
                                </w:r>
                                <w:r>
                                  <w:rPr>
                                    <w:color w:val="000000"/>
                                    <w:sz w:val="18"/>
                                  </w:rPr>
                                  <w:t xml:space="preserve">) CENTRAL (n = </w:t>
                                </w:r>
                                <w:r>
                                  <w:rPr>
                                    <w:color w:val="000000"/>
                                  </w:rPr>
                                  <w:t>148</w:t>
                                </w:r>
                                <w:r>
                                  <w:rPr>
                                    <w:color w:val="000000"/>
                                    <w:sz w:val="18"/>
                                  </w:rPr>
                                  <w:t>), EMBASE (n=385) e</w:t>
                                </w:r>
                                <w:r w:rsidR="004E7148">
                                  <w:rPr>
                                    <w:color w:val="000000"/>
                                    <w:sz w:val="18"/>
                                  </w:rPr>
                                  <w:t xml:space="preserve"> </w:t>
                                </w:r>
                                <w:r>
                                  <w:rPr>
                                    <w:color w:val="000000"/>
                                    <w:sz w:val="18"/>
                                  </w:rPr>
                                  <w:t>LILACS (n=0)</w:t>
                                </w:r>
                              </w:p>
                            </w:txbxContent>
                          </wps:txbx>
                          <wps:bodyPr spcFirstLastPara="1" wrap="square" lIns="88900" tIns="38100" rIns="88900" bIns="38100" anchor="t" anchorCtr="0">
                            <a:noAutofit/>
                          </wps:bodyPr>
                        </wps:wsp>
                        <wps:wsp>
                          <wps:cNvPr id="999382914" name="Retângulo 999382914"/>
                          <wps:cNvSpPr/>
                          <wps:spPr>
                            <a:xfrm>
                              <a:off x="4833031" y="1642654"/>
                              <a:ext cx="1714192" cy="567010"/>
                            </a:xfrm>
                            <a:prstGeom prst="rect">
                              <a:avLst/>
                            </a:prstGeom>
                            <a:solidFill>
                              <a:srgbClr val="FFFFFF"/>
                            </a:solidFill>
                            <a:ln w="12700" cap="flat" cmpd="sng">
                              <a:solidFill>
                                <a:srgbClr val="000000"/>
                              </a:solidFill>
                              <a:prstDash val="solid"/>
                              <a:round/>
                              <a:headEnd type="none" w="sm" len="sm"/>
                              <a:tailEnd type="none" w="sm" len="sm"/>
                            </a:ln>
                          </wps:spPr>
                          <wps:txbx>
                            <w:txbxContent>
                              <w:p w14:paraId="53CE3EDB" w14:textId="77777777" w:rsidR="00817793" w:rsidRDefault="002719FC">
                                <w:pPr>
                                  <w:spacing w:before="0" w:after="0" w:line="240" w:lineRule="auto"/>
                                  <w:jc w:val="center"/>
                                  <w:textDirection w:val="btLr"/>
                                </w:pPr>
                                <w:r>
                                  <w:rPr>
                                    <w:color w:val="000000"/>
                                  </w:rPr>
                                  <w:t>Referências duplicadas</w:t>
                                </w:r>
                              </w:p>
                              <w:p w14:paraId="5158825D" w14:textId="77777777" w:rsidR="00817793" w:rsidRDefault="002719FC">
                                <w:pPr>
                                  <w:spacing w:before="0" w:after="0" w:line="240" w:lineRule="auto"/>
                                  <w:jc w:val="center"/>
                                  <w:textDirection w:val="btLr"/>
                                </w:pPr>
                                <w:r>
                                  <w:rPr>
                                    <w:color w:val="000000"/>
                                  </w:rPr>
                                  <w:t>(n = 244)</w:t>
                                </w:r>
                              </w:p>
                            </w:txbxContent>
                          </wps:txbx>
                          <wps:bodyPr spcFirstLastPara="1" wrap="square" lIns="88900" tIns="38100" rIns="88900" bIns="38100" anchor="t" anchorCtr="0">
                            <a:noAutofit/>
                          </wps:bodyPr>
                        </wps:wsp>
                        <wps:wsp>
                          <wps:cNvPr id="1344594314" name="Forma Livre: Forma 1344594314"/>
                          <wps:cNvSpPr/>
                          <wps:spPr>
                            <a:xfrm>
                              <a:off x="3186500" y="716149"/>
                              <a:ext cx="0" cy="1764380"/>
                            </a:xfrm>
                            <a:custGeom>
                              <a:avLst/>
                              <a:gdLst/>
                              <a:ahLst/>
                              <a:cxnLst/>
                              <a:rect l="l" t="t" r="r" b="b"/>
                              <a:pathLst>
                                <a:path w="1" h="1764380" extrusionOk="0">
                                  <a:moveTo>
                                    <a:pt x="0" y="0"/>
                                  </a:moveTo>
                                  <a:lnTo>
                                    <a:pt x="0" y="1764380"/>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683652222" name="Forma Livre: Forma 683652222"/>
                          <wps:cNvSpPr/>
                          <wps:spPr>
                            <a:xfrm>
                              <a:off x="3186500" y="1831137"/>
                              <a:ext cx="1649753" cy="852"/>
                            </a:xfrm>
                            <a:custGeom>
                              <a:avLst/>
                              <a:gdLst/>
                              <a:ahLst/>
                              <a:cxnLst/>
                              <a:rect l="l" t="t" r="r" b="b"/>
                              <a:pathLst>
                                <a:path w="1649753" h="852" extrusionOk="0">
                                  <a:moveTo>
                                    <a:pt x="0" y="0"/>
                                  </a:moveTo>
                                  <a:lnTo>
                                    <a:pt x="1649753" y="852"/>
                                  </a:lnTo>
                                </a:path>
                              </a:pathLst>
                            </a:custGeom>
                            <a:solidFill>
                              <a:srgbClr val="FFFFFF"/>
                            </a:solid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wps:wsp>
                          <wps:cNvPr id="1976903524" name="Retângulo 1976903524"/>
                          <wps:cNvSpPr/>
                          <wps:spPr>
                            <a:xfrm>
                              <a:off x="1930658" y="2480387"/>
                              <a:ext cx="2662159" cy="673964"/>
                            </a:xfrm>
                            <a:prstGeom prst="rect">
                              <a:avLst/>
                            </a:prstGeom>
                            <a:solidFill>
                              <a:srgbClr val="FFFFFF"/>
                            </a:solidFill>
                            <a:ln w="12700" cap="flat" cmpd="sng">
                              <a:solidFill>
                                <a:srgbClr val="000000"/>
                              </a:solidFill>
                              <a:prstDash val="solid"/>
                              <a:round/>
                              <a:headEnd type="none" w="sm" len="sm"/>
                              <a:tailEnd type="none" w="sm" len="sm"/>
                            </a:ln>
                          </wps:spPr>
                          <wps:txbx>
                            <w:txbxContent>
                              <w:p w14:paraId="192A2DC4" w14:textId="77777777" w:rsidR="00817793" w:rsidRDefault="002719FC">
                                <w:pPr>
                                  <w:spacing w:before="0" w:after="0" w:line="240" w:lineRule="auto"/>
                                  <w:jc w:val="center"/>
                                  <w:textDirection w:val="btLr"/>
                                </w:pPr>
                                <w:r>
                                  <w:rPr>
                                    <w:color w:val="000000"/>
                                  </w:rPr>
                                  <w:t>Referências avaliadas pelo título e resumo</w:t>
                                </w:r>
                              </w:p>
                              <w:p w14:paraId="4DFF9FC5" w14:textId="77777777" w:rsidR="00817793" w:rsidRDefault="002719FC">
                                <w:pPr>
                                  <w:spacing w:before="0" w:after="0" w:line="240" w:lineRule="auto"/>
                                  <w:jc w:val="center"/>
                                  <w:textDirection w:val="btLr"/>
                                </w:pPr>
                                <w:r>
                                  <w:rPr>
                                    <w:color w:val="000000"/>
                                  </w:rPr>
                                  <w:t>(n = 553)</w:t>
                                </w:r>
                              </w:p>
                            </w:txbxContent>
                          </wps:txbx>
                          <wps:bodyPr spcFirstLastPara="1" wrap="square" lIns="88900" tIns="38100" rIns="88900" bIns="38100" anchor="t" anchorCtr="0">
                            <a:noAutofit/>
                          </wps:bodyPr>
                        </wps:wsp>
                        <wps:wsp>
                          <wps:cNvPr id="1602977262" name="Retângulo 1602977262"/>
                          <wps:cNvSpPr/>
                          <wps:spPr>
                            <a:xfrm>
                              <a:off x="3494016" y="78830"/>
                              <a:ext cx="2683161" cy="1121238"/>
                            </a:xfrm>
                            <a:prstGeom prst="rect">
                              <a:avLst/>
                            </a:prstGeom>
                            <a:solidFill>
                              <a:srgbClr val="FFFFFF"/>
                            </a:solidFill>
                            <a:ln w="12700" cap="flat" cmpd="sng">
                              <a:solidFill>
                                <a:srgbClr val="000000"/>
                              </a:solidFill>
                              <a:prstDash val="solid"/>
                              <a:round/>
                              <a:headEnd type="none" w="sm" len="sm"/>
                              <a:tailEnd type="none" w="sm" len="sm"/>
                            </a:ln>
                          </wps:spPr>
                          <wps:txbx>
                            <w:txbxContent>
                              <w:p w14:paraId="50E23BF0" w14:textId="77777777" w:rsidR="00817793" w:rsidRDefault="002719FC">
                                <w:pPr>
                                  <w:spacing w:before="0" w:after="0" w:line="240" w:lineRule="auto"/>
                                  <w:jc w:val="center"/>
                                  <w:textDirection w:val="btLr"/>
                                </w:pPr>
                                <w:r>
                                  <w:rPr>
                                    <w:color w:val="000000"/>
                                  </w:rPr>
                                  <w:t>Referências identificadas na busca adicional</w:t>
                                </w:r>
                              </w:p>
                              <w:p w14:paraId="58B38F47" w14:textId="77777777" w:rsidR="00817793" w:rsidRDefault="002719FC">
                                <w:pPr>
                                  <w:spacing w:before="0" w:after="0" w:line="240" w:lineRule="auto"/>
                                  <w:jc w:val="center"/>
                                  <w:textDirection w:val="btLr"/>
                                </w:pPr>
                                <w:r>
                                  <w:rPr>
                                    <w:color w:val="000000"/>
                                  </w:rPr>
                                  <w:t>(n = 08)</w:t>
                                </w:r>
                              </w:p>
                              <w:p w14:paraId="42357CA1" w14:textId="77A8952E" w:rsidR="00817793" w:rsidRDefault="002719FC">
                                <w:pPr>
                                  <w:spacing w:before="0" w:after="0" w:line="240" w:lineRule="auto"/>
                                  <w:jc w:val="center"/>
                                  <w:textDirection w:val="btLr"/>
                                </w:pPr>
                                <w:r>
                                  <w:rPr>
                                    <w:color w:val="000000"/>
                                    <w:sz w:val="18"/>
                                  </w:rPr>
                                  <w:t xml:space="preserve">Clinical </w:t>
                                </w:r>
                                <w:proofErr w:type="spellStart"/>
                                <w:r>
                                  <w:rPr>
                                    <w:color w:val="000000"/>
                                    <w:sz w:val="18"/>
                                  </w:rPr>
                                  <w:t>Trials</w:t>
                                </w:r>
                                <w:proofErr w:type="spellEnd"/>
                                <w:r w:rsidR="004E7148">
                                  <w:rPr>
                                    <w:color w:val="000000"/>
                                    <w:sz w:val="18"/>
                                  </w:rPr>
                                  <w:t xml:space="preserve"> </w:t>
                                </w:r>
                                <w:r>
                                  <w:rPr>
                                    <w:color w:val="000000"/>
                                    <w:sz w:val="18"/>
                                  </w:rPr>
                                  <w:t>(n=</w:t>
                                </w:r>
                                <w:r>
                                  <w:rPr>
                                    <w:color w:val="000000"/>
                                  </w:rPr>
                                  <w:t xml:space="preserve"> 08</w:t>
                                </w:r>
                                <w:r>
                                  <w:rPr>
                                    <w:color w:val="000000"/>
                                    <w:sz w:val="18"/>
                                  </w:rPr>
                                  <w:t>)</w:t>
                                </w:r>
                              </w:p>
                            </w:txbxContent>
                          </wps:txbx>
                          <wps:bodyPr spcFirstLastPara="1" wrap="square" lIns="88900" tIns="38100" rIns="88900" bIns="38100" anchor="t" anchorCtr="0">
                            <a:noAutofit/>
                          </wps:bodyPr>
                        </wps:wsp>
                        <wps:wsp>
                          <wps:cNvPr id="1044572590" name="Conector de Seta Reta 1044572590"/>
                          <wps:cNvCnPr/>
                          <wps:spPr>
                            <a:xfrm>
                              <a:off x="3001178" y="716149"/>
                              <a:ext cx="496417" cy="0"/>
                            </a:xfrm>
                            <a:prstGeom prst="straightConnector1">
                              <a:avLst/>
                            </a:prstGeom>
                            <a:solidFill>
                              <a:srgbClr val="FFFFFF"/>
                            </a:solidFill>
                            <a:ln w="9525" cap="flat" cmpd="sng">
                              <a:solidFill>
                                <a:srgbClr val="000000"/>
                              </a:solidFill>
                              <a:prstDash val="solid"/>
                              <a:miter lim="8000"/>
                              <a:headEnd type="none" w="sm" len="sm"/>
                              <a:tailEnd type="none" w="sm" len="sm"/>
                            </a:ln>
                          </wps:spPr>
                          <wps:bodyPr/>
                        </wps:wsp>
                      </wpg:grpSp>
                    </wpg:wgp>
                  </a:graphicData>
                </a:graphic>
                <wp14:sizeRelH relativeFrom="margin">
                  <wp14:pctWidth>0</wp14:pctWidth>
                </wp14:sizeRelH>
                <wp14:sizeRelV relativeFrom="margin">
                  <wp14:pctHeight>0</wp14:pctHeight>
                </wp14:sizeRelV>
              </wp:anchor>
            </w:drawing>
          </mc:Choice>
          <mc:Fallback>
            <w:pict>
              <v:group w14:anchorId="32C2650F" id="Agrupar 1" o:spid="_x0000_s1029" style="position:absolute;left:0;text-align:left;margin-left:-33.1pt;margin-top:18.15pt;width:520.6pt;height:582.45pt;z-index:251658242;mso-width-relative:margin;mso-height-relative:margin" coordorigin="19825,827" coordsize="66829,74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">
                <v:group id="Agrupar 836082696" o:spid="_x0000_s1030" style="position:absolute;left:19825;top:827;width:66829;height:74667" coordorigin="-582" coordsize="66829,74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">
                  <v:rect id="Retângulo 978026421" o:spid="_x0000_s1031" style="position:absolute;width:66246;height:7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" filled="f" stroked="f">
                    <v:textbox inset="2.53958mm,2.53958mm,2.53958mm,2.53958mm">
                      <w:txbxContent>
                        <w:p w14:paraId="06BBA33E" w14:textId="77777777" w:rsidR="00817793" w:rsidRDefault="00817793">
                          <w:pPr>
                            <w:spacing w:before="0" w:after="0" w:line="240" w:lineRule="auto"/>
                            <w:jc w:val="left"/>
                            <w:textDirection w:val="btLr"/>
                          </w:pPr>
                        </w:p>
                      </w:txbxContent>
                    </v:textbox>
                  </v:rect>
                  <v:roundrect id="Retângulo: Cantos Arredondados 767532197" o:spid="_x0000_s1032" style="position:absolute;left:-2519;top:63650;width:11169;height:7295;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" fillcolor="#d9e2f3" strokeweight="1pt">
                    <v:stroke startarrowwidth="narrow" startarrowlength="short" endarrowwidth="narrow" endarrowlength="short"/>
                    <v:textbox inset="7pt,3pt,7pt,3pt">
                      <w:txbxContent>
                        <w:p w14:paraId="0CA4FBE2" w14:textId="77777777" w:rsidR="00817793" w:rsidRDefault="002719FC">
                          <w:pPr>
                            <w:jc w:val="center"/>
                            <w:textDirection w:val="btLr"/>
                          </w:pPr>
                          <w:r>
                            <w:rPr>
                              <w:b/>
                              <w:color w:val="000000"/>
                            </w:rPr>
                            <w:t>Inclusão</w:t>
                          </w:r>
                        </w:p>
                      </w:txbxContent>
                    </v:textbox>
                  </v:roundrect>
                  <v:roundrect id="Retângulo: Cantos Arredondados 298886890" o:spid="_x0000_s1033" style="position:absolute;left:-5233;top:46050;width:16754;height:7108;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" fillcolor="#d9e2f3" strokeweight="1pt">
                    <v:stroke startarrowwidth="narrow" startarrowlength="short" endarrowwidth="narrow" endarrowlength="short"/>
                    <v:textbox inset="7pt,3pt,7pt,3pt">
                      <w:txbxContent>
                        <w:p w14:paraId="5947EBCC" w14:textId="77777777" w:rsidR="00817793" w:rsidRDefault="002719FC">
                          <w:pPr>
                            <w:jc w:val="center"/>
                            <w:textDirection w:val="btLr"/>
                          </w:pPr>
                          <w:r>
                            <w:rPr>
                              <w:b/>
                              <w:color w:val="000000"/>
                            </w:rPr>
                            <w:t>Elegibilidade</w:t>
                          </w:r>
                        </w:p>
                      </w:txbxContent>
                    </v:textbox>
                  </v:roundrect>
                  <v:rect id="Retângulo 1228998473" o:spid="_x0000_s1034" style="position:absolute;left:21262;top:41101;width:21482;height:8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" strokeweight="1pt">
                    <v:stroke startarrowwidth="narrow" startarrowlength="short" endarrowwidth="narrow" endarrowlength="short" joinstyle="round"/>
                    <v:textbox inset="7pt,3pt,7pt,3pt">
                      <w:txbxContent>
                        <w:p w14:paraId="39B6CE78" w14:textId="77777777" w:rsidR="00817793" w:rsidRDefault="002719FC">
                          <w:pPr>
                            <w:spacing w:before="0" w:after="0" w:line="240" w:lineRule="auto"/>
                            <w:jc w:val="center"/>
                            <w:textDirection w:val="btLr"/>
                          </w:pPr>
                          <w:r>
                            <w:rPr>
                              <w:color w:val="000000"/>
                            </w:rPr>
                            <w:t>Referências selecionadas para avaliação do texto completo</w:t>
                          </w:r>
                        </w:p>
                        <w:p w14:paraId="1289AF5C" w14:textId="77777777" w:rsidR="00817793" w:rsidRDefault="002719FC">
                          <w:pPr>
                            <w:spacing w:before="0" w:after="0" w:line="240" w:lineRule="auto"/>
                            <w:jc w:val="center"/>
                            <w:textDirection w:val="btLr"/>
                          </w:pPr>
                          <w:r>
                            <w:rPr>
                              <w:color w:val="000000"/>
                            </w:rPr>
                            <w:t>(n = 10)</w:t>
                          </w:r>
                        </w:p>
                      </w:txbxContent>
                    </v:textbox>
                  </v:rect>
                  <v:shape id="Forma Livre: Forma 324058918" o:spid="_x0000_s1035" style="position:absolute;left:31041;top:51511;width:0;height:13134;visibility:visible;mso-wrap-style:square;v-text-anchor:middle" coordsize="1,131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" path="m,l,1313413e" strokeweight="1pt">
                    <v:stroke startarrowwidth="narrow" startarrowlength="short" endarrow="block"/>
                    <v:path arrowok="t" o:extrusionok="f"/>
                  </v:shape>
                  <v:shape id="Forma Livre: Forma 1585682877" o:spid="_x0000_s1036" style="position:absolute;left:31041;top:57091;width:12957;height:0;visibility:visible;mso-wrap-style:square;v-text-anchor:middle" coordsize="12956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" path="m,l1295697,e" strokeweight="1pt">
                    <v:stroke startarrowwidth="narrow" startarrowlength="short" endarrow="block"/>
                    <v:path arrowok="t" o:extrusionok="f"/>
                  </v:shape>
                  <v:roundrect id="Retângulo: Cantos Arredondados 1602840034" o:spid="_x0000_s1037" style="position:absolute;left:-4941;top:25362;width:16231;height:7037;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" fillcolor="#d9e2f3" strokeweight="1pt">
                    <v:stroke startarrowwidth="narrow" startarrowlength="short" endarrowwidth="narrow" endarrowlength="short"/>
                    <v:textbox inset="7pt,3pt,7pt,3pt">
                      <w:txbxContent>
                        <w:p w14:paraId="5C69FACC" w14:textId="77777777" w:rsidR="00817793" w:rsidRDefault="002719FC">
                          <w:pPr>
                            <w:jc w:val="center"/>
                            <w:textDirection w:val="btLr"/>
                          </w:pPr>
                          <w:r>
                            <w:rPr>
                              <w:b/>
                              <w:color w:val="000000"/>
                            </w:rPr>
                            <w:t>Triagem</w:t>
                          </w:r>
                        </w:p>
                      </w:txbxContent>
                    </v:textbox>
                  </v:roundrect>
                  <v:roundrect id="Retângulo: Cantos Arredondados 820509585" o:spid="_x0000_s1038" style="position:absolute;left:-4732;top:5878;width:15287;height:644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" fillcolor="#d9e2f3" strokeweight="1pt">
                    <v:stroke startarrowwidth="narrow" startarrowlength="short" endarrowwidth="narrow" endarrowlength="short"/>
                    <v:textbox inset="7pt,3pt,7pt,3pt">
                      <w:txbxContent>
                        <w:p w14:paraId="5E084887" w14:textId="77777777" w:rsidR="00817793" w:rsidRDefault="002719FC">
                          <w:pPr>
                            <w:jc w:val="center"/>
                            <w:textDirection w:val="btLr"/>
                          </w:pPr>
                          <w:r>
                            <w:rPr>
                              <w:b/>
                              <w:color w:val="000000"/>
                            </w:rPr>
                            <w:t>Identificação</w:t>
                          </w:r>
                        </w:p>
                      </w:txbxContent>
                    </v:textbox>
                  </v:roundrect>
                  <v:rect id="Retângulo 1156759011" o:spid="_x0000_s1039" style="position:absolute;left:48441;top:32368;width:17662;height:6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" strokeweight="1pt">
                    <v:stroke startarrowwidth="narrow" startarrowlength="short" endarrowwidth="narrow" endarrowlength="short" joinstyle="round"/>
                    <v:textbox inset="7pt,3pt,7pt,3pt">
                      <w:txbxContent>
                        <w:p w14:paraId="0D08924D" w14:textId="77777777" w:rsidR="00817793" w:rsidRDefault="002719FC">
                          <w:pPr>
                            <w:spacing w:before="0" w:after="0" w:line="240" w:lineRule="auto"/>
                            <w:jc w:val="center"/>
                            <w:textDirection w:val="btLr"/>
                          </w:pPr>
                          <w:r>
                            <w:rPr>
                              <w:color w:val="000000"/>
                            </w:rPr>
                            <w:t>Referências eliminadas</w:t>
                          </w:r>
                        </w:p>
                        <w:p w14:paraId="681E4E36" w14:textId="77777777" w:rsidR="00817793" w:rsidRDefault="002719FC">
                          <w:pPr>
                            <w:spacing w:before="0" w:after="0" w:line="240" w:lineRule="auto"/>
                            <w:jc w:val="center"/>
                            <w:textDirection w:val="btLr"/>
                          </w:pPr>
                          <w:r>
                            <w:rPr>
                              <w:color w:val="000000"/>
                            </w:rPr>
                            <w:t>(n = 543)</w:t>
                          </w:r>
                        </w:p>
                      </w:txbxContent>
                    </v:textbox>
                  </v:rect>
                  <v:shape id="Forma Livre: Forma 246302164" o:spid="_x0000_s1040" style="position:absolute;left:31762;top:31543;width:6;height:8981;visibility:visible;mso-wrap-style:square;v-text-anchor:middle" coordsize="596,898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" path="m,l596,898098e" strokeweight="1pt">
                    <v:stroke startarrowwidth="narrow" startarrowlength="short" endarrow="block"/>
                    <v:path arrowok="t" o:extrusionok="f"/>
                  </v:shape>
                  <v:shape id="Forma Livre: Forma 1175387686" o:spid="_x0000_s1041" style="position:absolute;left:31765;top:35696;width:16676;height:36;rotation:180;flip:x;visibility:visible;mso-wrap-style:square;v-text-anchor:middle" coordsize="1667533,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" path="m,l1667533,3550e" strokeweight="1pt">
                    <v:stroke startarrowwidth="narrow" startarrowlength="short" endarrow="block"/>
                    <v:path arrowok="t" o:extrusionok="f"/>
                  </v:shape>
                  <v:rect id="Retângulo 97668692" o:spid="_x0000_s1042" style="position:absolute;left:6130;top:789;width:23772;height:1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" strokeweight="1pt">
                    <v:stroke startarrowwidth="narrow" startarrowlength="short" endarrowwidth="narrow" endarrowlength="short" joinstyle="round"/>
                    <v:textbox inset="7pt,3pt,7pt,3pt">
                      <w:txbxContent>
                        <w:p w14:paraId="2B845ED1" w14:textId="77777777" w:rsidR="00817793" w:rsidRDefault="002719FC">
                          <w:pPr>
                            <w:spacing w:before="0" w:after="0" w:line="240" w:lineRule="auto"/>
                            <w:jc w:val="center"/>
                            <w:textDirection w:val="btLr"/>
                          </w:pPr>
                          <w:r>
                            <w:rPr>
                              <w:color w:val="000000"/>
                            </w:rPr>
                            <w:t>Referências identificadas na busca eletrônica</w:t>
                          </w:r>
                        </w:p>
                        <w:p w14:paraId="2EC264D8" w14:textId="77777777" w:rsidR="00817793" w:rsidRDefault="002719FC">
                          <w:pPr>
                            <w:spacing w:before="0" w:after="0" w:line="240" w:lineRule="auto"/>
                            <w:jc w:val="center"/>
                            <w:textDirection w:val="btLr"/>
                          </w:pPr>
                          <w:r>
                            <w:rPr>
                              <w:color w:val="000000"/>
                            </w:rPr>
                            <w:t>(n = 789)</w:t>
                          </w:r>
                        </w:p>
                        <w:p w14:paraId="5367814F" w14:textId="165C8D62" w:rsidR="00817793" w:rsidRDefault="002719FC">
                          <w:pPr>
                            <w:spacing w:before="0" w:after="0" w:line="240" w:lineRule="auto"/>
                            <w:jc w:val="center"/>
                            <w:textDirection w:val="btLr"/>
                          </w:pPr>
                          <w:r>
                            <w:rPr>
                              <w:color w:val="000000"/>
                              <w:sz w:val="18"/>
                            </w:rPr>
                            <w:t xml:space="preserve">MEDLINE (n = </w:t>
                          </w:r>
                          <w:r>
                            <w:rPr>
                              <w:color w:val="000000"/>
                            </w:rPr>
                            <w:t>256</w:t>
                          </w:r>
                          <w:r>
                            <w:rPr>
                              <w:color w:val="000000"/>
                              <w:sz w:val="18"/>
                            </w:rPr>
                            <w:t xml:space="preserve">) CENTRAL (n = </w:t>
                          </w:r>
                          <w:r>
                            <w:rPr>
                              <w:color w:val="000000"/>
                            </w:rPr>
                            <w:t>148</w:t>
                          </w:r>
                          <w:r>
                            <w:rPr>
                              <w:color w:val="000000"/>
                              <w:sz w:val="18"/>
                            </w:rPr>
                            <w:t>), EMBASE (n=385) e</w:t>
                          </w:r>
                          <w:r w:rsidR="004E7148">
                            <w:rPr>
                              <w:color w:val="000000"/>
                              <w:sz w:val="18"/>
                            </w:rPr>
                            <w:t xml:space="preserve"> </w:t>
                          </w:r>
                          <w:r>
                            <w:rPr>
                              <w:color w:val="000000"/>
                              <w:sz w:val="18"/>
                            </w:rPr>
                            <w:t>LILACS (n=0)</w:t>
                          </w:r>
                        </w:p>
                      </w:txbxContent>
                    </v:textbox>
                  </v:rect>
                  <v:rect id="Retângulo 999382914" o:spid="_x0000_s1043" style="position:absolute;left:48330;top:16426;width:17142;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" strokeweight="1pt">
                    <v:stroke startarrowwidth="narrow" startarrowlength="short" endarrowwidth="narrow" endarrowlength="short" joinstyle="round"/>
                    <v:textbox inset="7pt,3pt,7pt,3pt">
                      <w:txbxContent>
                        <w:p w14:paraId="53CE3EDB" w14:textId="77777777" w:rsidR="00817793" w:rsidRDefault="002719FC">
                          <w:pPr>
                            <w:spacing w:before="0" w:after="0" w:line="240" w:lineRule="auto"/>
                            <w:jc w:val="center"/>
                            <w:textDirection w:val="btLr"/>
                          </w:pPr>
                          <w:r>
                            <w:rPr>
                              <w:color w:val="000000"/>
                            </w:rPr>
                            <w:t>Referências duplicadas</w:t>
                          </w:r>
                        </w:p>
                        <w:p w14:paraId="5158825D" w14:textId="77777777" w:rsidR="00817793" w:rsidRDefault="002719FC">
                          <w:pPr>
                            <w:spacing w:before="0" w:after="0" w:line="240" w:lineRule="auto"/>
                            <w:jc w:val="center"/>
                            <w:textDirection w:val="btLr"/>
                          </w:pPr>
                          <w:r>
                            <w:rPr>
                              <w:color w:val="000000"/>
                            </w:rPr>
                            <w:t>(n = 244)</w:t>
                          </w:r>
                        </w:p>
                      </w:txbxContent>
                    </v:textbox>
                  </v:rect>
                  <v:shape id="Forma Livre: Forma 1344594314" o:spid="_x0000_s1044" style="position:absolute;left:31865;top:7161;width:0;height:17644;visibility:visible;mso-wrap-style:square;v-text-anchor:middle" coordsize="1,176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" path="m,l,1764380e" strokeweight="1pt">
                    <v:stroke startarrowwidth="narrow" startarrowlength="short" endarrow="block"/>
                    <v:path arrowok="t" o:extrusionok="f"/>
                  </v:shape>
                  <v:shape id="Forma Livre: Forma 683652222" o:spid="_x0000_s1045" style="position:absolute;left:31865;top:18311;width:16497;height:8;visibility:visible;mso-wrap-style:square;v-text-anchor:middle" coordsize="1649753,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" path="m,l1649753,852e" strokeweight="1pt">
                    <v:stroke startarrowwidth="narrow" startarrowlength="short" endarrow="block"/>
                    <v:path arrowok="t" o:extrusionok="f"/>
                  </v:shape>
                  <v:rect id="Retângulo 1976903524" o:spid="_x0000_s1046" style="position:absolute;left:19306;top:24803;width:26622;height:6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" strokeweight="1pt">
                    <v:stroke startarrowwidth="narrow" startarrowlength="short" endarrowwidth="narrow" endarrowlength="short" joinstyle="round"/>
                    <v:textbox inset="7pt,3pt,7pt,3pt">
                      <w:txbxContent>
                        <w:p w14:paraId="192A2DC4" w14:textId="77777777" w:rsidR="00817793" w:rsidRDefault="002719FC">
                          <w:pPr>
                            <w:spacing w:before="0" w:after="0" w:line="240" w:lineRule="auto"/>
                            <w:jc w:val="center"/>
                            <w:textDirection w:val="btLr"/>
                          </w:pPr>
                          <w:r>
                            <w:rPr>
                              <w:color w:val="000000"/>
                            </w:rPr>
                            <w:t>Referências avaliadas pelo título e resumo</w:t>
                          </w:r>
                        </w:p>
                        <w:p w14:paraId="4DFF9FC5" w14:textId="77777777" w:rsidR="00817793" w:rsidRDefault="002719FC">
                          <w:pPr>
                            <w:spacing w:before="0" w:after="0" w:line="240" w:lineRule="auto"/>
                            <w:jc w:val="center"/>
                            <w:textDirection w:val="btLr"/>
                          </w:pPr>
                          <w:r>
                            <w:rPr>
                              <w:color w:val="000000"/>
                            </w:rPr>
                            <w:t>(n = 553)</w:t>
                          </w:r>
                        </w:p>
                      </w:txbxContent>
                    </v:textbox>
                  </v:rect>
                  <v:rect id="Retângulo 1602977262" o:spid="_x0000_s1047" style="position:absolute;left:34940;top:788;width:26831;height:1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" strokeweight="1pt">
                    <v:stroke startarrowwidth="narrow" startarrowlength="short" endarrowwidth="narrow" endarrowlength="short" joinstyle="round"/>
                    <v:textbox inset="7pt,3pt,7pt,3pt">
                      <w:txbxContent>
                        <w:p w14:paraId="50E23BF0" w14:textId="77777777" w:rsidR="00817793" w:rsidRDefault="002719FC">
                          <w:pPr>
                            <w:spacing w:before="0" w:after="0" w:line="240" w:lineRule="auto"/>
                            <w:jc w:val="center"/>
                            <w:textDirection w:val="btLr"/>
                          </w:pPr>
                          <w:r>
                            <w:rPr>
                              <w:color w:val="000000"/>
                            </w:rPr>
                            <w:t>Referências identificadas na busca adicional</w:t>
                          </w:r>
                        </w:p>
                        <w:p w14:paraId="58B38F47" w14:textId="77777777" w:rsidR="00817793" w:rsidRDefault="002719FC">
                          <w:pPr>
                            <w:spacing w:before="0" w:after="0" w:line="240" w:lineRule="auto"/>
                            <w:jc w:val="center"/>
                            <w:textDirection w:val="btLr"/>
                          </w:pPr>
                          <w:r>
                            <w:rPr>
                              <w:color w:val="000000"/>
                            </w:rPr>
                            <w:t>(n = 08)</w:t>
                          </w:r>
                        </w:p>
                        <w:p w14:paraId="42357CA1" w14:textId="77A8952E" w:rsidR="00817793" w:rsidRDefault="002719FC">
                          <w:pPr>
                            <w:spacing w:before="0" w:after="0" w:line="240" w:lineRule="auto"/>
                            <w:jc w:val="center"/>
                            <w:textDirection w:val="btLr"/>
                          </w:pPr>
                          <w:r>
                            <w:rPr>
                              <w:color w:val="000000"/>
                              <w:sz w:val="18"/>
                            </w:rPr>
                            <w:t xml:space="preserve">Clinical </w:t>
                          </w:r>
                          <w:proofErr w:type="spellStart"/>
                          <w:r>
                            <w:rPr>
                              <w:color w:val="000000"/>
                              <w:sz w:val="18"/>
                            </w:rPr>
                            <w:t>Trials</w:t>
                          </w:r>
                          <w:proofErr w:type="spellEnd"/>
                          <w:r w:rsidR="004E7148">
                            <w:rPr>
                              <w:color w:val="000000"/>
                              <w:sz w:val="18"/>
                            </w:rPr>
                            <w:t xml:space="preserve"> </w:t>
                          </w:r>
                          <w:r>
                            <w:rPr>
                              <w:color w:val="000000"/>
                              <w:sz w:val="18"/>
                            </w:rPr>
                            <w:t>(n=</w:t>
                          </w:r>
                          <w:r>
                            <w:rPr>
                              <w:color w:val="000000"/>
                            </w:rPr>
                            <w:t xml:space="preserve"> 08</w:t>
                          </w:r>
                          <w:r>
                            <w:rPr>
                              <w:color w:val="000000"/>
                              <w:sz w:val="18"/>
                            </w:rPr>
                            <w:t>)</w:t>
                          </w:r>
                        </w:p>
                      </w:txbxContent>
                    </v:textbox>
                  </v:rect>
                  <v:shapetype id="_x0000_t32" coordsize="21600,21600" o:spt="32" o:oned="t" path="m,l21600,21600e" filled="f">
                    <v:path arrowok="t" fillok="f" o:connecttype="none"/>
                    <o:lock v:ext="edit" shapetype="t"/>
                  </v:shapetype>
                  <v:shape id="Conector de Seta Reta 1044572590" o:spid="_x0000_s1048" type="#_x0000_t32" style="position:absolute;left:30011;top:7161;width:49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" filled="t">
                    <v:stroke startarrowwidth="narrow" startarrowlength="short" endarrowwidth="narrow" endarrowlength="short" miterlimit="5243f" joinstyle="miter"/>
                  </v:shape>
                </v:group>
                <w10:wrap type="square"/>
              </v:group>
            </w:pict>
          </mc:Fallback>
        </mc:AlternateContent>
      </w:r>
      <w:r w:rsidR="002719FC">
        <w:rPr>
          <w:b/>
        </w:rPr>
        <w:t>Figura 2.</w:t>
      </w:r>
      <w:r w:rsidR="002719FC">
        <w:t xml:space="preserve">  Fluxograma da seleção dos estudos, versão do PARECERISTA.</w:t>
      </w:r>
    </w:p>
    <w:p w14:paraId="40293594" w14:textId="3F7D4A36" w:rsidR="00817793" w:rsidRDefault="00817793">
      <w:pPr>
        <w:jc w:val="center"/>
      </w:pPr>
    </w:p>
    <w:tbl>
      <w:tblPr>
        <w:tblStyle w:val="ae"/>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4181AE17" w14:textId="77777777">
        <w:trPr>
          <w:trHeight w:val="416"/>
        </w:trPr>
        <w:tc>
          <w:tcPr>
            <w:tcW w:w="9072" w:type="dxa"/>
            <w:shd w:val="clear" w:color="auto" w:fill="D9E2F3"/>
            <w:vAlign w:val="center"/>
          </w:tcPr>
          <w:p w14:paraId="07F30888" w14:textId="77777777" w:rsidR="00817793" w:rsidRDefault="002719FC">
            <w:pPr>
              <w:spacing w:before="120" w:after="120" w:line="240" w:lineRule="auto"/>
              <w:jc w:val="center"/>
              <w:rPr>
                <w:b/>
              </w:rPr>
            </w:pPr>
            <w:r>
              <w:rPr>
                <w:b/>
              </w:rPr>
              <w:lastRenderedPageBreak/>
              <w:t>Comentários gerais sobre o</w:t>
            </w:r>
            <w:r>
              <w:t xml:space="preserve"> </w:t>
            </w:r>
            <w:r>
              <w:rPr>
                <w:b/>
              </w:rPr>
              <w:t>fluxograma PRISMA</w:t>
            </w:r>
          </w:p>
        </w:tc>
      </w:tr>
      <w:tr w:rsidR="00817793" w14:paraId="08886880" w14:textId="77777777">
        <w:trPr>
          <w:trHeight w:val="750"/>
        </w:trPr>
        <w:tc>
          <w:tcPr>
            <w:tcW w:w="9072" w:type="dxa"/>
            <w:vAlign w:val="center"/>
          </w:tcPr>
          <w:p w14:paraId="76FFE91A" w14:textId="77777777" w:rsidR="00817793" w:rsidRDefault="002719FC">
            <w:pPr>
              <w:spacing w:before="120" w:after="120" w:line="240" w:lineRule="auto"/>
            </w:pPr>
            <w:r>
              <w:t xml:space="preserve">O proponente incluiu em sua análise 16 estudos. Entre os estudos incluídos, sete artigos estavam associados a quatro ensaios clínicos randomizados (ECR). Esses estudos foram: </w:t>
            </w:r>
            <w:proofErr w:type="spellStart"/>
            <w:r>
              <w:t>Furie</w:t>
            </w:r>
            <w:proofErr w:type="spellEnd"/>
            <w:r>
              <w:t xml:space="preserve"> et al. (2019), referente ao TULIP-1 (Fase III); Morand et al. (2020), referente ao TULIP-2 (Fase III); Morand et al. (2018); </w:t>
            </w:r>
            <w:proofErr w:type="spellStart"/>
            <w:r>
              <w:t>Furie</w:t>
            </w:r>
            <w:proofErr w:type="spellEnd"/>
            <w:r>
              <w:t xml:space="preserve"> et al. (2017); </w:t>
            </w:r>
            <w:proofErr w:type="spellStart"/>
            <w:r>
              <w:t>Chatam</w:t>
            </w:r>
            <w:proofErr w:type="spellEnd"/>
            <w:r>
              <w:t xml:space="preserve"> et al. (2021), referente ao MUSE (Fase II); </w:t>
            </w:r>
            <w:proofErr w:type="spellStart"/>
            <w:r>
              <w:t>Kalunian</w:t>
            </w:r>
            <w:proofErr w:type="spellEnd"/>
            <w:r>
              <w:t xml:space="preserve"> et al. (2023); e Morand et al. (2023) um resumo de congresso, referente ao TULIP-LTE (Fase III).</w:t>
            </w:r>
          </w:p>
          <w:p w14:paraId="60D9F351" w14:textId="77777777" w:rsidR="00817793" w:rsidRDefault="002719FC">
            <w:pPr>
              <w:spacing w:before="120" w:after="120" w:line="240" w:lineRule="auto"/>
            </w:pPr>
            <w:r>
              <w:t xml:space="preserve">Quatro estudos, também incluídos pelo proponente, realizaram análises de dados agrupados provenientes de ensaios clínicos. As publicações de Bruce et al. (2023), Morand et al. (2023) e Vital et al. (2022) referem-se a análises post-hoc de dados agrupados dos ECR TULIP-1 e TULIP-2. Já a publicação de </w:t>
            </w:r>
            <w:proofErr w:type="spellStart"/>
            <w:r>
              <w:t>Tummala</w:t>
            </w:r>
            <w:proofErr w:type="spellEnd"/>
            <w:r>
              <w:t xml:space="preserve"> et al. (2021) aborda análises de dados agrupados dos ECR TULIP-1, TULIP-2 e MUSE.</w:t>
            </w:r>
          </w:p>
          <w:p w14:paraId="23C56D7B" w14:textId="77777777" w:rsidR="00817793" w:rsidRDefault="002719FC">
            <w:pPr>
              <w:spacing w:before="120" w:after="120" w:line="240" w:lineRule="auto"/>
            </w:pPr>
            <w:r>
              <w:t xml:space="preserve">Por fim, o proponente incluiu cinco revisões sistemáticas que avaliaram a segurança e a efetividade do </w:t>
            </w:r>
            <w:proofErr w:type="spellStart"/>
            <w:r>
              <w:t>anifrolumabe</w:t>
            </w:r>
            <w:proofErr w:type="spellEnd"/>
            <w:r>
              <w:t xml:space="preserve"> com base nos ECR TULIP-1, TULIP-2, TULIP-LTE e MUSE. As revisões identificadas foram: Chan et al. (2023), </w:t>
            </w:r>
            <w:proofErr w:type="spellStart"/>
            <w:r>
              <w:t>Cingireddy</w:t>
            </w:r>
            <w:proofErr w:type="spellEnd"/>
            <w:r>
              <w:t xml:space="preserve"> et al. </w:t>
            </w:r>
            <w:r w:rsidRPr="00115FE0">
              <w:rPr>
                <w:lang w:val="de-DE"/>
              </w:rPr>
              <w:t xml:space="preserve">(2024), Koh et al. (2020), Lee et al. (2020) e Liu et al. </w:t>
            </w:r>
            <w:r>
              <w:t>(2022).</w:t>
            </w:r>
          </w:p>
          <w:p w14:paraId="189950AF" w14:textId="77777777" w:rsidR="00817793" w:rsidRDefault="002719FC">
            <w:pPr>
              <w:spacing w:before="120" w:after="120" w:line="240" w:lineRule="auto"/>
            </w:pPr>
            <w:r>
              <w:t xml:space="preserve">Na atualização da busca, os pareceristas não identificaram estudos que atendessem de forma plena aos critérios estabelecidos na proposta de utilização da DUT no comparador (tratamento atualmente disponível e aprovado - Placebo + Terapia tripla [hidroxicloroquina + </w:t>
            </w:r>
            <w:proofErr w:type="spellStart"/>
            <w:r>
              <w:t>corticosteróide</w:t>
            </w:r>
            <w:proofErr w:type="spellEnd"/>
            <w:r>
              <w:t xml:space="preserve"> (prednisona ≥ 7,5 mg ou equivalente) + um imunossupressor]) ou na população-alvo pretendida pelo proponente na submissão (pacientes com lúpus eritematoso sistêmico [LES] com moderada a alta atividade da doença que falharam na terapia tripla, composta por antimalárico, corticoide e imunossupressor).</w:t>
            </w:r>
          </w:p>
          <w:p w14:paraId="0EDA5885" w14:textId="77777777" w:rsidR="00817793" w:rsidRDefault="002719FC">
            <w:pPr>
              <w:spacing w:before="120" w:after="120" w:line="240" w:lineRule="auto"/>
            </w:pPr>
            <w:r>
              <w:t>Os ECR TULIP-1, TULIP-2 e TULIP-LTE foram incluídos na análise dos pareceristas com ressalvas. Embora os ECR não incluam exclusivamente pacientes em terapia tripla, é possível inferir que uma parcela dos participantes fazia uso desse regime terapêutico. No entanto, não é possível determinar com precisão a proporção de pacientes em terapia tripla com base nas características basais apresentadas nos estudos (estimamos em torno de 60%-80% no TULIP-1 e em torno de 50% no TULIP-2, com base nas tabelas de características dos pacientes nas linhas de base dos respectivos estudos). Além disso, os resultados dos estudos não são estratificados de forma a distinguir entre pacientes em terapia única, dupla ou tripla.</w:t>
            </w:r>
          </w:p>
          <w:p w14:paraId="604C056A" w14:textId="77777777" w:rsidR="00817793" w:rsidRDefault="002719FC">
            <w:pPr>
              <w:spacing w:before="120" w:after="120" w:line="240" w:lineRule="auto"/>
            </w:pPr>
            <w:r>
              <w:t>Outro ponto relevante é que os ECR não deixam explicitamente claro que os pacientes eram intolerantes ou refratários à terapia padrão. Contudo, considerando que os critérios de inclusão exigiam alta atividade da doença, definida por SLEDAI-2K ≥6 pontos e SLEDAI-2K "Clínico" ≥4 pontos, entende-se que esses pacientes, apesar de estarem em terapia padrão, não apresentavam resposta adequada ao tratamento.</w:t>
            </w:r>
          </w:p>
          <w:p w14:paraId="6F802A32" w14:textId="77777777" w:rsidR="00817793" w:rsidRDefault="002719FC">
            <w:pPr>
              <w:spacing w:before="120" w:after="120" w:line="240" w:lineRule="auto"/>
            </w:pPr>
            <w:r>
              <w:t xml:space="preserve">Dessa forma, os pareceristas optaram por incluir esses estudos na análise, com ressalvas, reconhecendo a limitação da validade externa desses estudos e considerando uma aplicação deles no presente caso como evidência indireta (ou seja, para população-alvo próxima à população-alvo pretendida para incorporação, conforme proposta de DUT, mas não exatamente a mesma). Essa limitação será considerada na avaliação da qualidade e força da evidência, com a devida penalização no julgamento final. </w:t>
            </w:r>
          </w:p>
        </w:tc>
      </w:tr>
    </w:tbl>
    <w:p w14:paraId="092B6282" w14:textId="77777777" w:rsidR="00817793" w:rsidRDefault="002719FC">
      <w:pPr>
        <w:pStyle w:val="Ttulo4"/>
        <w:spacing w:before="0" w:after="0"/>
      </w:pPr>
      <w:bookmarkStart w:id="28" w:name="_myy8lhg2hm8j" w:colFirst="0" w:colLast="0"/>
      <w:bookmarkEnd w:id="28"/>
      <w:r>
        <w:rPr>
          <w:b/>
        </w:rPr>
        <w:lastRenderedPageBreak/>
        <w:t>Quadro 9.</w:t>
      </w:r>
      <w:r>
        <w:t xml:space="preserve"> Estudos excluídos e razões para exclusão (versão do PROPONENTE e do PARECERISTA)</w:t>
      </w:r>
    </w:p>
    <w:tbl>
      <w:tblPr>
        <w:tblStyle w:val="af"/>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5"/>
        <w:gridCol w:w="5910"/>
      </w:tblGrid>
      <w:tr w:rsidR="00817793" w14:paraId="34386CF6" w14:textId="77777777">
        <w:trPr>
          <w:trHeight w:val="562"/>
          <w:jc w:val="center"/>
        </w:trPr>
        <w:tc>
          <w:tcPr>
            <w:tcW w:w="9135" w:type="dxa"/>
            <w:gridSpan w:val="2"/>
            <w:shd w:val="clear" w:color="auto" w:fill="D9E2F3"/>
          </w:tcPr>
          <w:p w14:paraId="192EF657" w14:textId="77777777" w:rsidR="00817793" w:rsidRDefault="002719FC">
            <w:pPr>
              <w:spacing w:before="120" w:after="120" w:line="240" w:lineRule="auto"/>
              <w:jc w:val="center"/>
              <w:rPr>
                <w:b/>
              </w:rPr>
            </w:pPr>
            <w:r>
              <w:rPr>
                <w:b/>
              </w:rPr>
              <w:t>PROPONENTE</w:t>
            </w:r>
          </w:p>
        </w:tc>
      </w:tr>
      <w:tr w:rsidR="00817793" w14:paraId="5BBBFEB3" w14:textId="77777777">
        <w:trPr>
          <w:trHeight w:val="415"/>
          <w:jc w:val="center"/>
        </w:trPr>
        <w:tc>
          <w:tcPr>
            <w:tcW w:w="3225" w:type="dxa"/>
          </w:tcPr>
          <w:p w14:paraId="0DD749C2" w14:textId="77777777" w:rsidR="00817793" w:rsidRDefault="002719FC">
            <w:pPr>
              <w:spacing w:before="120" w:after="120" w:line="240" w:lineRule="auto"/>
              <w:jc w:val="center"/>
              <w:rPr>
                <w:b/>
              </w:rPr>
            </w:pPr>
            <w:r>
              <w:rPr>
                <w:b/>
              </w:rPr>
              <w:t>Estudo</w:t>
            </w:r>
          </w:p>
        </w:tc>
        <w:tc>
          <w:tcPr>
            <w:tcW w:w="5910" w:type="dxa"/>
          </w:tcPr>
          <w:p w14:paraId="42A07273" w14:textId="77777777" w:rsidR="00817793" w:rsidRDefault="002719FC">
            <w:pPr>
              <w:spacing w:before="120" w:after="120" w:line="240" w:lineRule="auto"/>
              <w:jc w:val="center"/>
              <w:rPr>
                <w:b/>
              </w:rPr>
            </w:pPr>
            <w:r>
              <w:rPr>
                <w:b/>
              </w:rPr>
              <w:t>Razão para exclusão</w:t>
            </w:r>
          </w:p>
        </w:tc>
      </w:tr>
      <w:tr w:rsidR="00817793" w14:paraId="777BFFAD" w14:textId="77777777">
        <w:trPr>
          <w:trHeight w:val="421"/>
          <w:jc w:val="center"/>
        </w:trPr>
        <w:tc>
          <w:tcPr>
            <w:tcW w:w="3225" w:type="dxa"/>
          </w:tcPr>
          <w:p w14:paraId="45C939E3" w14:textId="77777777" w:rsidR="00817793" w:rsidRDefault="002719FC">
            <w:pPr>
              <w:spacing w:before="120" w:after="120" w:line="240" w:lineRule="auto"/>
              <w:jc w:val="center"/>
            </w:pPr>
            <w:proofErr w:type="spellStart"/>
            <w:r>
              <w:t>Anifrolumab</w:t>
            </w:r>
            <w:proofErr w:type="spellEnd"/>
            <w:r>
              <w:t xml:space="preserve"> (</w:t>
            </w:r>
            <w:proofErr w:type="spellStart"/>
            <w:r>
              <w:t>Saphnelo</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 (Sem autores listados)</w:t>
            </w:r>
          </w:p>
        </w:tc>
        <w:tc>
          <w:tcPr>
            <w:tcW w:w="5910" w:type="dxa"/>
          </w:tcPr>
          <w:p w14:paraId="03FD566D" w14:textId="77777777" w:rsidR="00817793" w:rsidRDefault="002719FC">
            <w:pPr>
              <w:spacing w:before="120" w:after="120" w:line="240" w:lineRule="auto"/>
              <w:jc w:val="center"/>
            </w:pPr>
            <w:r>
              <w:t>Desenho do estudo inadequado</w:t>
            </w:r>
          </w:p>
        </w:tc>
      </w:tr>
      <w:tr w:rsidR="00817793" w14:paraId="0E990374" w14:textId="77777777">
        <w:trPr>
          <w:trHeight w:val="415"/>
          <w:jc w:val="center"/>
        </w:trPr>
        <w:tc>
          <w:tcPr>
            <w:tcW w:w="3225" w:type="dxa"/>
          </w:tcPr>
          <w:p w14:paraId="3E47C29E" w14:textId="77777777" w:rsidR="00817793" w:rsidRDefault="002719FC">
            <w:pPr>
              <w:spacing w:before="120" w:after="120" w:line="240" w:lineRule="auto"/>
              <w:jc w:val="center"/>
            </w:pPr>
            <w:r>
              <w:t>Bruce, 2019</w:t>
            </w:r>
          </w:p>
          <w:p w14:paraId="0AB15B9A" w14:textId="77777777" w:rsidR="00817793" w:rsidRDefault="002719FC">
            <w:pPr>
              <w:spacing w:before="120" w:after="120" w:line="240" w:lineRule="auto"/>
              <w:jc w:val="center"/>
            </w:pPr>
            <w:r>
              <w:t xml:space="preserve">PK/PD, </w:t>
            </w:r>
            <w:proofErr w:type="spellStart"/>
            <w:r>
              <w:t>safety</w:t>
            </w:r>
            <w:proofErr w:type="spellEnd"/>
            <w:r>
              <w:t xml:space="preserve"> </w:t>
            </w:r>
            <w:proofErr w:type="spellStart"/>
            <w:r>
              <w:t>and</w:t>
            </w:r>
            <w:proofErr w:type="spellEnd"/>
            <w:r>
              <w:t xml:space="preserve"> </w:t>
            </w:r>
            <w:proofErr w:type="spellStart"/>
            <w:r>
              <w:t>exploratory</w:t>
            </w:r>
            <w:proofErr w:type="spellEnd"/>
            <w:r>
              <w:t xml:space="preserve"> </w:t>
            </w:r>
            <w:proofErr w:type="spellStart"/>
            <w:r>
              <w:t>efficacy</w:t>
            </w:r>
            <w:proofErr w:type="spellEnd"/>
            <w:r>
              <w:t xml:space="preserve"> </w:t>
            </w:r>
            <w:proofErr w:type="spellStart"/>
            <w:r>
              <w:t>of</w:t>
            </w:r>
            <w:proofErr w:type="spellEnd"/>
            <w:r>
              <w:t xml:space="preserve"> </w:t>
            </w:r>
            <w:proofErr w:type="spellStart"/>
            <w:r>
              <w:t>subcutaneous</w:t>
            </w:r>
            <w:proofErr w:type="spellEnd"/>
            <w:r>
              <w:t xml:space="preserve"> </w:t>
            </w:r>
            <w:proofErr w:type="spellStart"/>
            <w:r>
              <w:t>anifrolumab</w:t>
            </w:r>
            <w:proofErr w:type="spellEnd"/>
            <w:r>
              <w:t xml:space="preserve"> in SLE: A </w:t>
            </w:r>
            <w:proofErr w:type="spellStart"/>
            <w:r>
              <w:t>phase-ii</w:t>
            </w:r>
            <w:proofErr w:type="spellEnd"/>
            <w:r>
              <w:t xml:space="preserve"> </w:t>
            </w:r>
            <w:proofErr w:type="spellStart"/>
            <w:r>
              <w:t>study</w:t>
            </w:r>
            <w:proofErr w:type="spellEnd"/>
            <w:r>
              <w:t xml:space="preserve"> in interferon </w:t>
            </w:r>
            <w:proofErr w:type="spellStart"/>
            <w:r>
              <w:t>type</w:t>
            </w:r>
            <w:proofErr w:type="spellEnd"/>
            <w:r>
              <w:t xml:space="preserve"> i high </w:t>
            </w:r>
            <w:proofErr w:type="spellStart"/>
            <w:r>
              <w:t>patients</w:t>
            </w:r>
            <w:proofErr w:type="spellEnd"/>
            <w:r>
              <w:t xml:space="preserve"> </w:t>
            </w:r>
            <w:proofErr w:type="spellStart"/>
            <w:r>
              <w:t>with</w:t>
            </w:r>
            <w:proofErr w:type="spellEnd"/>
            <w:r>
              <w:t xml:space="preserve"> </w:t>
            </w:r>
            <w:proofErr w:type="spellStart"/>
            <w:r>
              <w:t>active</w:t>
            </w:r>
            <w:proofErr w:type="spellEnd"/>
            <w:r>
              <w:t xml:space="preserve"> </w:t>
            </w:r>
            <w:proofErr w:type="spellStart"/>
            <w:r>
              <w:t>skin</w:t>
            </w:r>
            <w:proofErr w:type="spellEnd"/>
            <w:r>
              <w:t xml:space="preserve"> </w:t>
            </w:r>
            <w:proofErr w:type="spellStart"/>
            <w:r>
              <w:t>disease</w:t>
            </w:r>
            <w:proofErr w:type="spellEnd"/>
          </w:p>
        </w:tc>
        <w:tc>
          <w:tcPr>
            <w:tcW w:w="5910" w:type="dxa"/>
          </w:tcPr>
          <w:p w14:paraId="1E84CC43" w14:textId="77777777" w:rsidR="00817793" w:rsidRDefault="002719FC">
            <w:pPr>
              <w:spacing w:before="120" w:after="120" w:line="240" w:lineRule="auto"/>
              <w:jc w:val="center"/>
            </w:pPr>
            <w:r>
              <w:t>Artigo publicado em forma de resumo</w:t>
            </w:r>
          </w:p>
        </w:tc>
      </w:tr>
      <w:tr w:rsidR="00817793" w14:paraId="2FDBDD17" w14:textId="77777777">
        <w:trPr>
          <w:trHeight w:val="415"/>
          <w:jc w:val="center"/>
        </w:trPr>
        <w:tc>
          <w:tcPr>
            <w:tcW w:w="3225" w:type="dxa"/>
          </w:tcPr>
          <w:p w14:paraId="539C479F" w14:textId="77777777" w:rsidR="00817793" w:rsidRDefault="002719FC">
            <w:pPr>
              <w:spacing w:before="120" w:after="120" w:line="240" w:lineRule="auto"/>
              <w:jc w:val="center"/>
            </w:pPr>
            <w:r>
              <w:t>Bruce, 2020</w:t>
            </w:r>
          </w:p>
          <w:p w14:paraId="0F3999B2" w14:textId="77777777" w:rsidR="00817793" w:rsidRDefault="002719FC">
            <w:pPr>
              <w:spacing w:before="120" w:after="120" w:line="240" w:lineRule="auto"/>
              <w:jc w:val="center"/>
            </w:pPr>
            <w:proofErr w:type="spellStart"/>
            <w:r>
              <w:t>Pharmacokinetics</w:t>
            </w:r>
            <w:proofErr w:type="spellEnd"/>
            <w:r>
              <w:t xml:space="preserve">, </w:t>
            </w:r>
            <w:proofErr w:type="spellStart"/>
            <w:r>
              <w:t>pharmacodynamics</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subcutaneous</w:t>
            </w:r>
            <w:proofErr w:type="spellEnd"/>
            <w:r>
              <w:t xml:space="preserve"> </w:t>
            </w:r>
            <w:proofErr w:type="spellStart"/>
            <w:r>
              <w:t>anifrolumab</w:t>
            </w:r>
            <w:proofErr w:type="spellEnd"/>
            <w:r>
              <w:t xml:space="preserve"> in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active</w:t>
            </w:r>
            <w:proofErr w:type="spellEnd"/>
            <w:r>
              <w:t xml:space="preserve"> </w:t>
            </w:r>
            <w:proofErr w:type="spellStart"/>
            <w:r>
              <w:t>skin</w:t>
            </w:r>
            <w:proofErr w:type="spellEnd"/>
            <w:r>
              <w:t xml:space="preserve"> </w:t>
            </w:r>
            <w:proofErr w:type="spellStart"/>
            <w:r>
              <w:t>disease</w:t>
            </w:r>
            <w:proofErr w:type="spellEnd"/>
            <w:r>
              <w:t xml:space="preserve">, </w:t>
            </w:r>
            <w:proofErr w:type="spellStart"/>
            <w:r>
              <w:t>and</w:t>
            </w:r>
            <w:proofErr w:type="spellEnd"/>
            <w:r>
              <w:t xml:space="preserve"> high </w:t>
            </w:r>
            <w:proofErr w:type="spellStart"/>
            <w:r>
              <w:t>type</w:t>
            </w:r>
            <w:proofErr w:type="spellEnd"/>
            <w:r>
              <w:t xml:space="preserve"> I interferon gene </w:t>
            </w:r>
            <w:proofErr w:type="spellStart"/>
            <w:r>
              <w:t>signature</w:t>
            </w:r>
            <w:proofErr w:type="spellEnd"/>
            <w:r>
              <w:t xml:space="preserve">: a </w:t>
            </w:r>
            <w:proofErr w:type="spellStart"/>
            <w:r>
              <w:t>multicentre</w:t>
            </w:r>
            <w:proofErr w:type="spellEnd"/>
            <w:r>
              <w:t xml:space="preserve">, </w:t>
            </w:r>
            <w:proofErr w:type="spellStart"/>
            <w:r>
              <w:t>randomised</w:t>
            </w:r>
            <w:proofErr w:type="spellEnd"/>
            <w:r>
              <w:t xml:space="preserve">, </w:t>
            </w:r>
            <w:proofErr w:type="spellStart"/>
            <w:r>
              <w:t>double-blind</w:t>
            </w:r>
            <w:proofErr w:type="spellEnd"/>
            <w:r>
              <w:t>, placebo-</w:t>
            </w:r>
            <w:proofErr w:type="spellStart"/>
            <w:r>
              <w:t>controlled</w:t>
            </w:r>
            <w:proofErr w:type="spellEnd"/>
            <w:r>
              <w:t xml:space="preserve">, </w:t>
            </w:r>
            <w:proofErr w:type="spellStart"/>
            <w:r>
              <w:t>phase</w:t>
            </w:r>
            <w:proofErr w:type="spellEnd"/>
            <w:r>
              <w:t xml:space="preserve"> 2 </w:t>
            </w:r>
            <w:proofErr w:type="spellStart"/>
            <w:r>
              <w:t>study</w:t>
            </w:r>
            <w:proofErr w:type="spellEnd"/>
          </w:p>
        </w:tc>
        <w:tc>
          <w:tcPr>
            <w:tcW w:w="5910" w:type="dxa"/>
          </w:tcPr>
          <w:p w14:paraId="603B358D" w14:textId="77777777" w:rsidR="00817793" w:rsidRDefault="002719FC">
            <w:pPr>
              <w:spacing w:before="120" w:after="120" w:line="240" w:lineRule="auto"/>
              <w:jc w:val="center"/>
            </w:pPr>
            <w:r>
              <w:t>Intervenção inapropriada</w:t>
            </w:r>
          </w:p>
        </w:tc>
      </w:tr>
      <w:tr w:rsidR="00817793" w14:paraId="452C7CFA" w14:textId="77777777">
        <w:trPr>
          <w:trHeight w:val="415"/>
          <w:jc w:val="center"/>
        </w:trPr>
        <w:tc>
          <w:tcPr>
            <w:tcW w:w="3225" w:type="dxa"/>
          </w:tcPr>
          <w:p w14:paraId="21FC28EA" w14:textId="77777777" w:rsidR="00817793" w:rsidRDefault="002719FC">
            <w:pPr>
              <w:spacing w:before="120" w:after="120" w:line="240" w:lineRule="auto"/>
              <w:jc w:val="center"/>
            </w:pPr>
            <w:r>
              <w:t>Chatham, 2019</w:t>
            </w:r>
          </w:p>
          <w:p w14:paraId="11B6666B" w14:textId="77777777" w:rsidR="00817793" w:rsidRDefault="002719FC">
            <w:pPr>
              <w:spacing w:before="120" w:after="120" w:line="240" w:lineRule="auto"/>
              <w:jc w:val="center"/>
            </w:pPr>
            <w:r>
              <w:t xml:space="preserve">A </w:t>
            </w:r>
            <w:proofErr w:type="spellStart"/>
            <w:r>
              <w:t>phase</w:t>
            </w:r>
            <w:proofErr w:type="spellEnd"/>
            <w:r>
              <w:t xml:space="preserve"> 2, open-</w:t>
            </w:r>
            <w:proofErr w:type="spellStart"/>
            <w:r>
              <w:t>label</w:t>
            </w:r>
            <w:proofErr w:type="spellEnd"/>
            <w:r>
              <w:t xml:space="preserve"> </w:t>
            </w:r>
            <w:proofErr w:type="spellStart"/>
            <w:r>
              <w:t>extension</w:t>
            </w:r>
            <w:proofErr w:type="spellEnd"/>
            <w:r>
              <w:t xml:space="preserve"> </w:t>
            </w:r>
            <w:proofErr w:type="spellStart"/>
            <w:r>
              <w:t>study</w:t>
            </w:r>
            <w:proofErr w:type="spellEnd"/>
            <w:r>
              <w:t xml:space="preserve"> </w:t>
            </w:r>
            <w:proofErr w:type="spellStart"/>
            <w:r>
              <w:t>to</w:t>
            </w:r>
            <w:proofErr w:type="spellEnd"/>
            <w:r>
              <w:t xml:space="preserve"> </w:t>
            </w:r>
            <w:proofErr w:type="spellStart"/>
            <w:r>
              <w:t>evaluate</w:t>
            </w:r>
            <w:proofErr w:type="spellEnd"/>
            <w:r>
              <w:t xml:space="preserve"> </w:t>
            </w:r>
            <w:proofErr w:type="spellStart"/>
            <w:r>
              <w:t>long-term</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adults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910" w:type="dxa"/>
          </w:tcPr>
          <w:p w14:paraId="1752FE0F" w14:textId="77777777" w:rsidR="00817793" w:rsidRDefault="002719FC">
            <w:pPr>
              <w:spacing w:before="120" w:after="120" w:line="240" w:lineRule="auto"/>
              <w:jc w:val="center"/>
            </w:pPr>
            <w:r>
              <w:t>Artigo publicado em forma de resumo</w:t>
            </w:r>
          </w:p>
        </w:tc>
      </w:tr>
      <w:tr w:rsidR="00817793" w14:paraId="4DD6EE34" w14:textId="77777777">
        <w:trPr>
          <w:trHeight w:val="415"/>
          <w:jc w:val="center"/>
        </w:trPr>
        <w:tc>
          <w:tcPr>
            <w:tcW w:w="3225" w:type="dxa"/>
          </w:tcPr>
          <w:p w14:paraId="50B64D8C" w14:textId="77777777" w:rsidR="00817793" w:rsidRDefault="002719FC">
            <w:pPr>
              <w:spacing w:before="120" w:after="120" w:line="240" w:lineRule="auto"/>
              <w:jc w:val="center"/>
            </w:pPr>
            <w:r>
              <w:t>Chia, 2022</w:t>
            </w:r>
          </w:p>
          <w:p w14:paraId="34816A5A" w14:textId="77777777" w:rsidR="00817793" w:rsidRDefault="002719FC">
            <w:pPr>
              <w:spacing w:before="120" w:after="120" w:line="240" w:lineRule="auto"/>
              <w:jc w:val="center"/>
            </w:pPr>
            <w:proofErr w:type="spellStart"/>
            <w:r>
              <w:t>Relationship</w:t>
            </w:r>
            <w:proofErr w:type="spellEnd"/>
            <w:r>
              <w:t xml:space="preserve"> </w:t>
            </w:r>
            <w:proofErr w:type="spellStart"/>
            <w:r>
              <w:t>of</w:t>
            </w:r>
            <w:proofErr w:type="spellEnd"/>
            <w:r>
              <w:t xml:space="preserve"> </w:t>
            </w:r>
            <w:proofErr w:type="spellStart"/>
            <w:r>
              <w:t>anifrolumab</w:t>
            </w:r>
            <w:proofErr w:type="spellEnd"/>
            <w:r>
              <w:t xml:space="preserve"> </w:t>
            </w:r>
            <w:proofErr w:type="spellStart"/>
            <w:r>
              <w:t>pharmacokinetics</w:t>
            </w:r>
            <w:proofErr w:type="spellEnd"/>
            <w:r>
              <w:t xml:space="preserve"> </w:t>
            </w:r>
            <w:proofErr w:type="spellStart"/>
            <w:r>
              <w:t>with</w:t>
            </w:r>
            <w:proofErr w:type="spellEnd"/>
            <w:r>
              <w:t xml:space="preserve">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in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910" w:type="dxa"/>
          </w:tcPr>
          <w:p w14:paraId="792138A2" w14:textId="77777777" w:rsidR="00817793" w:rsidRDefault="002719FC">
            <w:pPr>
              <w:spacing w:before="120" w:after="120" w:line="240" w:lineRule="auto"/>
              <w:jc w:val="center"/>
            </w:pPr>
            <w:r>
              <w:t>Desfecho inapropriado ou não reportado</w:t>
            </w:r>
          </w:p>
        </w:tc>
      </w:tr>
      <w:tr w:rsidR="00817793" w14:paraId="236C133F" w14:textId="77777777">
        <w:trPr>
          <w:trHeight w:val="415"/>
          <w:jc w:val="center"/>
        </w:trPr>
        <w:tc>
          <w:tcPr>
            <w:tcW w:w="3225" w:type="dxa"/>
          </w:tcPr>
          <w:p w14:paraId="27259DBA" w14:textId="77777777" w:rsidR="00817793" w:rsidRDefault="002719FC">
            <w:pPr>
              <w:spacing w:before="120" w:after="120" w:line="240" w:lineRule="auto"/>
              <w:jc w:val="center"/>
            </w:pPr>
            <w:r>
              <w:t>Fatima, 2023</w:t>
            </w:r>
          </w:p>
          <w:p w14:paraId="0045A8B9" w14:textId="77777777" w:rsidR="00817793" w:rsidRDefault="002719FC">
            <w:pPr>
              <w:spacing w:before="120" w:after="120" w:line="240" w:lineRule="auto"/>
              <w:jc w:val="center"/>
            </w:pPr>
            <w:proofErr w:type="spellStart"/>
            <w:r>
              <w:t>Safety</w:t>
            </w:r>
            <w:proofErr w:type="spellEnd"/>
            <w:r>
              <w:t xml:space="preserve"> </w:t>
            </w:r>
            <w:proofErr w:type="spellStart"/>
            <w:r>
              <w:t>and</w:t>
            </w:r>
            <w:proofErr w:type="spellEnd"/>
            <w:r>
              <w:t xml:space="preserve"> </w:t>
            </w:r>
            <w:proofErr w:type="spellStart"/>
            <w:r>
              <w:t>Efficacy</w:t>
            </w:r>
            <w:proofErr w:type="spellEnd"/>
            <w:r>
              <w:t xml:space="preserve"> </w:t>
            </w:r>
            <w:proofErr w:type="spellStart"/>
            <w:r>
              <w:t>of</w:t>
            </w:r>
            <w:proofErr w:type="spellEnd"/>
            <w:r>
              <w:t xml:space="preserve"> </w:t>
            </w:r>
            <w:proofErr w:type="spellStart"/>
            <w:r>
              <w:t>Anifrolumab</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lastRenderedPageBreak/>
              <w:t>Erythematosus</w:t>
            </w:r>
            <w:proofErr w:type="spellEnd"/>
            <w:r>
              <w:t>: Network Meta-</w:t>
            </w:r>
            <w:proofErr w:type="spellStart"/>
            <w:r>
              <w:t>analysis</w:t>
            </w:r>
            <w:proofErr w:type="spellEnd"/>
          </w:p>
        </w:tc>
        <w:tc>
          <w:tcPr>
            <w:tcW w:w="5910" w:type="dxa"/>
          </w:tcPr>
          <w:p w14:paraId="72C708CD" w14:textId="77777777" w:rsidR="00817793" w:rsidRDefault="002719FC">
            <w:pPr>
              <w:spacing w:before="120" w:after="120" w:line="240" w:lineRule="auto"/>
              <w:jc w:val="center"/>
            </w:pPr>
            <w:r>
              <w:lastRenderedPageBreak/>
              <w:t>Artigo publicado em forma de resumo</w:t>
            </w:r>
          </w:p>
        </w:tc>
      </w:tr>
      <w:tr w:rsidR="00817793" w14:paraId="2EB15C71" w14:textId="77777777">
        <w:trPr>
          <w:trHeight w:val="415"/>
          <w:jc w:val="center"/>
        </w:trPr>
        <w:tc>
          <w:tcPr>
            <w:tcW w:w="3225" w:type="dxa"/>
          </w:tcPr>
          <w:p w14:paraId="7FA650D6" w14:textId="77777777" w:rsidR="00817793" w:rsidRPr="00115FE0" w:rsidRDefault="002719FC">
            <w:pPr>
              <w:spacing w:before="120" w:after="120" w:line="240" w:lineRule="auto"/>
              <w:jc w:val="center"/>
              <w:rPr>
                <w:lang w:val="de-DE"/>
              </w:rPr>
            </w:pPr>
            <w:r w:rsidRPr="00115FE0">
              <w:rPr>
                <w:lang w:val="de-DE"/>
              </w:rPr>
              <w:t>Felten, 2023</w:t>
            </w:r>
          </w:p>
          <w:p w14:paraId="61AFF1D5" w14:textId="77777777" w:rsidR="00817793" w:rsidRDefault="002719FC">
            <w:pPr>
              <w:spacing w:before="120" w:after="120" w:line="240" w:lineRule="auto"/>
              <w:jc w:val="center"/>
            </w:pPr>
            <w:r w:rsidRPr="00115FE0">
              <w:rPr>
                <w:lang w:val="de-DE"/>
              </w:rPr>
              <w:t xml:space="preserve">New biologics and targeted therapies in systemic lupus: From new molecular targets to new indications. </w:t>
            </w:r>
            <w:r>
              <w:t xml:space="preserve">A </w:t>
            </w:r>
            <w:proofErr w:type="spellStart"/>
            <w:r>
              <w:t>systematic</w:t>
            </w:r>
            <w:proofErr w:type="spellEnd"/>
            <w:r>
              <w:t xml:space="preserve"> review</w:t>
            </w:r>
          </w:p>
        </w:tc>
        <w:tc>
          <w:tcPr>
            <w:tcW w:w="5910" w:type="dxa"/>
          </w:tcPr>
          <w:p w14:paraId="05D5D55E" w14:textId="77777777" w:rsidR="00817793" w:rsidRDefault="002719FC">
            <w:pPr>
              <w:spacing w:before="120" w:after="120" w:line="240" w:lineRule="auto"/>
              <w:jc w:val="center"/>
            </w:pPr>
            <w:r>
              <w:t>Desfechos não reportados</w:t>
            </w:r>
          </w:p>
        </w:tc>
      </w:tr>
      <w:tr w:rsidR="00817793" w14:paraId="4AAF4427" w14:textId="77777777">
        <w:trPr>
          <w:trHeight w:val="415"/>
          <w:jc w:val="center"/>
        </w:trPr>
        <w:tc>
          <w:tcPr>
            <w:tcW w:w="3225" w:type="dxa"/>
          </w:tcPr>
          <w:p w14:paraId="0E53CB99" w14:textId="77777777" w:rsidR="00817793" w:rsidRPr="00115FE0" w:rsidRDefault="002719FC">
            <w:pPr>
              <w:spacing w:before="120" w:after="120" w:line="240" w:lineRule="auto"/>
              <w:jc w:val="center"/>
              <w:rPr>
                <w:lang w:val="de-DE"/>
              </w:rPr>
            </w:pPr>
            <w:r w:rsidRPr="00115FE0">
              <w:rPr>
                <w:lang w:val="de-DE"/>
              </w:rPr>
              <w:t>Furie, 2019a</w:t>
            </w:r>
          </w:p>
          <w:p w14:paraId="5CE73CFC" w14:textId="77777777" w:rsidR="00817793" w:rsidRPr="00115FE0" w:rsidRDefault="002719FC">
            <w:pPr>
              <w:spacing w:before="120" w:after="120" w:line="240" w:lineRule="auto"/>
              <w:jc w:val="center"/>
              <w:rPr>
                <w:lang w:val="de-DE"/>
              </w:rPr>
            </w:pPr>
            <w:r w:rsidRPr="00115FE0">
              <w:rPr>
                <w:lang w:val="de-DE"/>
              </w:rPr>
              <w:t>A phase 3 randomized controlled trial of anifrolumab in patients with moderate to severe systemic lupus erythematosus</w:t>
            </w:r>
          </w:p>
        </w:tc>
        <w:tc>
          <w:tcPr>
            <w:tcW w:w="5910" w:type="dxa"/>
          </w:tcPr>
          <w:p w14:paraId="120DC468" w14:textId="77777777" w:rsidR="00817793" w:rsidRDefault="002719FC">
            <w:pPr>
              <w:spacing w:before="120" w:after="120" w:line="240" w:lineRule="auto"/>
              <w:jc w:val="center"/>
            </w:pPr>
            <w:r>
              <w:t>Artigo publicado em forma de resumo</w:t>
            </w:r>
          </w:p>
        </w:tc>
      </w:tr>
      <w:tr w:rsidR="00817793" w14:paraId="4D0C457B" w14:textId="77777777">
        <w:trPr>
          <w:trHeight w:val="415"/>
          <w:jc w:val="center"/>
        </w:trPr>
        <w:tc>
          <w:tcPr>
            <w:tcW w:w="3225" w:type="dxa"/>
          </w:tcPr>
          <w:p w14:paraId="290A7B6D" w14:textId="77777777" w:rsidR="00817793" w:rsidRDefault="002719FC">
            <w:pPr>
              <w:spacing w:before="120" w:after="120" w:line="240" w:lineRule="auto"/>
              <w:jc w:val="center"/>
            </w:pPr>
            <w:proofErr w:type="spellStart"/>
            <w:r>
              <w:t>Kalunian</w:t>
            </w:r>
            <w:proofErr w:type="spellEnd"/>
            <w:r>
              <w:t>, 2023a</w:t>
            </w:r>
          </w:p>
          <w:p w14:paraId="1EEDAC85" w14:textId="77777777" w:rsidR="00817793" w:rsidRDefault="002719FC">
            <w:pPr>
              <w:spacing w:before="120" w:after="120" w:line="240" w:lineRule="auto"/>
              <w:jc w:val="center"/>
            </w:pPr>
            <w:proofErr w:type="spellStart"/>
            <w:r>
              <w:t>Long-term</w:t>
            </w:r>
            <w:proofErr w:type="spellEnd"/>
            <w:r>
              <w:t xml:space="preserve"> </w:t>
            </w:r>
            <w:proofErr w:type="spellStart"/>
            <w:r>
              <w:t>Safety</w:t>
            </w:r>
            <w:proofErr w:type="spellEnd"/>
            <w:r>
              <w:t xml:space="preserve"> </w:t>
            </w:r>
            <w:proofErr w:type="spellStart"/>
            <w:r>
              <w:t>and</w:t>
            </w:r>
            <w:proofErr w:type="spellEnd"/>
            <w:r>
              <w:t xml:space="preserve"> </w:t>
            </w:r>
            <w:proofErr w:type="spellStart"/>
            <w:r>
              <w:t>Efficacy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Adult</w:t>
            </w:r>
            <w:proofErr w:type="spellEnd"/>
            <w:r>
              <w:t xml:space="preserve">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A </w:t>
            </w:r>
            <w:proofErr w:type="spellStart"/>
            <w:r>
              <w:t>Multicenter</w:t>
            </w:r>
            <w:proofErr w:type="spellEnd"/>
            <w:r>
              <w:t xml:space="preserve">, </w:t>
            </w:r>
            <w:proofErr w:type="spellStart"/>
            <w:r>
              <w:t>Randomized</w:t>
            </w:r>
            <w:proofErr w:type="spellEnd"/>
            <w:r>
              <w:t xml:space="preserve">, </w:t>
            </w:r>
            <w:proofErr w:type="spellStart"/>
            <w:r>
              <w:t>Doubleblind</w:t>
            </w:r>
            <w:proofErr w:type="spellEnd"/>
            <w:r>
              <w:t>, Placebo-</w:t>
            </w:r>
            <w:proofErr w:type="spellStart"/>
            <w:r>
              <w:t>controlled</w:t>
            </w:r>
            <w:proofErr w:type="spellEnd"/>
            <w:r>
              <w:t xml:space="preserve"> 3-year TULIP </w:t>
            </w:r>
            <w:proofErr w:type="spellStart"/>
            <w:r>
              <w:t>Extension</w:t>
            </w:r>
            <w:proofErr w:type="spellEnd"/>
            <w:r>
              <w:t xml:space="preserve"> </w:t>
            </w:r>
            <w:proofErr w:type="spellStart"/>
            <w:r>
              <w:t>Study</w:t>
            </w:r>
            <w:proofErr w:type="spellEnd"/>
          </w:p>
        </w:tc>
        <w:tc>
          <w:tcPr>
            <w:tcW w:w="5910" w:type="dxa"/>
          </w:tcPr>
          <w:p w14:paraId="3E27668E" w14:textId="77777777" w:rsidR="00817793" w:rsidRDefault="002719FC">
            <w:pPr>
              <w:spacing w:before="120" w:after="120" w:line="240" w:lineRule="auto"/>
              <w:jc w:val="center"/>
            </w:pPr>
            <w:r>
              <w:t>Desenho do estudo inadequado</w:t>
            </w:r>
          </w:p>
        </w:tc>
      </w:tr>
      <w:tr w:rsidR="00817793" w14:paraId="65F2BF9D" w14:textId="77777777">
        <w:trPr>
          <w:trHeight w:val="415"/>
          <w:jc w:val="center"/>
        </w:trPr>
        <w:tc>
          <w:tcPr>
            <w:tcW w:w="3225" w:type="dxa"/>
          </w:tcPr>
          <w:p w14:paraId="3966AD46" w14:textId="77777777" w:rsidR="00817793" w:rsidRDefault="002719FC">
            <w:pPr>
              <w:spacing w:before="120" w:after="120" w:line="240" w:lineRule="auto"/>
              <w:jc w:val="center"/>
            </w:pPr>
            <w:proofErr w:type="spellStart"/>
            <w:r>
              <w:t>Kalunian</w:t>
            </w:r>
            <w:proofErr w:type="spellEnd"/>
            <w:r>
              <w:t>, 2023b</w:t>
            </w:r>
          </w:p>
          <w:p w14:paraId="39285873" w14:textId="77777777" w:rsidR="00817793" w:rsidRDefault="002719FC">
            <w:pPr>
              <w:spacing w:before="120" w:after="120" w:line="240" w:lineRule="auto"/>
              <w:jc w:val="center"/>
            </w:pPr>
            <w:r>
              <w:t xml:space="preserve">A </w:t>
            </w:r>
            <w:proofErr w:type="spellStart"/>
            <w:r>
              <w:t>Randomized</w:t>
            </w:r>
            <w:proofErr w:type="spellEnd"/>
            <w:r>
              <w:t>, Placebo-</w:t>
            </w:r>
            <w:proofErr w:type="spellStart"/>
            <w:r>
              <w:t>Controlled</w:t>
            </w:r>
            <w:proofErr w:type="spellEnd"/>
            <w:r>
              <w:t xml:space="preserve"> </w:t>
            </w:r>
            <w:proofErr w:type="spellStart"/>
            <w:r>
              <w:t>Phase</w:t>
            </w:r>
            <w:proofErr w:type="spellEnd"/>
            <w:r>
              <w:t xml:space="preserve"> III </w:t>
            </w:r>
            <w:proofErr w:type="spellStart"/>
            <w:r>
              <w:t>Extension</w:t>
            </w:r>
            <w:proofErr w:type="spellEnd"/>
            <w:r>
              <w:t xml:space="preserve"> </w:t>
            </w:r>
            <w:proofErr w:type="spellStart"/>
            <w:r>
              <w:t>Trial</w:t>
            </w:r>
            <w:proofErr w:type="spellEnd"/>
            <w:r>
              <w:t xml:space="preserve"> </w:t>
            </w:r>
            <w:proofErr w:type="spellStart"/>
            <w:r>
              <w:t>of</w:t>
            </w:r>
            <w:proofErr w:type="spellEnd"/>
            <w:r>
              <w:t xml:space="preserve"> </w:t>
            </w:r>
            <w:proofErr w:type="spellStart"/>
            <w:r>
              <w:t>the</w:t>
            </w:r>
            <w:proofErr w:type="spellEnd"/>
            <w:r>
              <w:t xml:space="preserve"> </w:t>
            </w:r>
            <w:proofErr w:type="spellStart"/>
            <w:r>
              <w:t>Long-Term</w:t>
            </w:r>
            <w:proofErr w:type="spellEnd"/>
            <w:r>
              <w:t xml:space="preserve"> </w:t>
            </w:r>
            <w:proofErr w:type="spellStart"/>
            <w:r>
              <w:t>Safety</w:t>
            </w:r>
            <w:proofErr w:type="spellEnd"/>
            <w:r>
              <w:t xml:space="preserve"> </w:t>
            </w:r>
            <w:proofErr w:type="spellStart"/>
            <w:r>
              <w:t>and</w:t>
            </w:r>
            <w:proofErr w:type="spellEnd"/>
            <w:r>
              <w:t xml:space="preserve"> </w:t>
            </w:r>
            <w:proofErr w:type="spellStart"/>
            <w:r>
              <w:t>Tolerability</w:t>
            </w:r>
            <w:proofErr w:type="spellEnd"/>
            <w:r>
              <w:t xml:space="preserve"> </w:t>
            </w:r>
            <w:proofErr w:type="spellStart"/>
            <w:r>
              <w:t>of</w:t>
            </w:r>
            <w:proofErr w:type="spellEnd"/>
            <w:r>
              <w:t xml:space="preserve"> </w:t>
            </w:r>
            <w:proofErr w:type="spellStart"/>
            <w:r>
              <w:t>Anifrolumab</w:t>
            </w:r>
            <w:proofErr w:type="spellEnd"/>
            <w:r>
              <w:t xml:space="preserve"> in Active </w:t>
            </w:r>
            <w:proofErr w:type="spellStart"/>
            <w:r>
              <w:t>Systemic</w:t>
            </w:r>
            <w:proofErr w:type="spellEnd"/>
            <w:r>
              <w:t xml:space="preserve"> </w:t>
            </w:r>
            <w:proofErr w:type="spellStart"/>
            <w:r>
              <w:t>Lupus</w:t>
            </w:r>
            <w:proofErr w:type="spellEnd"/>
            <w:r>
              <w:t xml:space="preserve"> </w:t>
            </w:r>
            <w:proofErr w:type="spellStart"/>
            <w:proofErr w:type="gramStart"/>
            <w:r>
              <w:t>Erythematosus</w:t>
            </w:r>
            <w:proofErr w:type="spellEnd"/>
            <w:r>
              <w:t>[</w:t>
            </w:r>
            <w:proofErr w:type="gramEnd"/>
          </w:p>
        </w:tc>
        <w:tc>
          <w:tcPr>
            <w:tcW w:w="5910" w:type="dxa"/>
          </w:tcPr>
          <w:p w14:paraId="61372980" w14:textId="77777777" w:rsidR="00817793" w:rsidRDefault="002719FC">
            <w:pPr>
              <w:spacing w:before="120" w:after="120" w:line="240" w:lineRule="auto"/>
              <w:jc w:val="center"/>
            </w:pPr>
            <w:r>
              <w:t>Desenho do estudo inadequado</w:t>
            </w:r>
          </w:p>
        </w:tc>
      </w:tr>
      <w:tr w:rsidR="00817793" w14:paraId="58EAE48C" w14:textId="77777777">
        <w:trPr>
          <w:trHeight w:val="415"/>
          <w:jc w:val="center"/>
        </w:trPr>
        <w:tc>
          <w:tcPr>
            <w:tcW w:w="3225" w:type="dxa"/>
          </w:tcPr>
          <w:p w14:paraId="1CC2CAB0" w14:textId="77777777" w:rsidR="00817793" w:rsidRDefault="002719FC">
            <w:pPr>
              <w:spacing w:before="120" w:after="120" w:line="240" w:lineRule="auto"/>
              <w:jc w:val="center"/>
            </w:pPr>
            <w:r>
              <w:t>Lee, 2021</w:t>
            </w:r>
          </w:p>
          <w:p w14:paraId="347972D4" w14:textId="77777777" w:rsidR="00817793" w:rsidRDefault="002719FC">
            <w:pPr>
              <w:spacing w:before="120" w:after="120" w:line="240" w:lineRule="auto"/>
              <w:jc w:val="center"/>
            </w:pPr>
            <w:proofErr w:type="spellStart"/>
            <w:r>
              <w:t>Comparative</w:t>
            </w:r>
            <w:proofErr w:type="spellEnd"/>
            <w:r>
              <w:t xml:space="preserve"> </w:t>
            </w:r>
            <w:proofErr w:type="spellStart"/>
            <w:r>
              <w:t>effectiveness</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belimumab</w:t>
            </w:r>
            <w:proofErr w:type="spellEnd"/>
            <w:r>
              <w:t xml:space="preserve"> </w:t>
            </w:r>
            <w:proofErr w:type="spellStart"/>
            <w:r>
              <w:t>and</w:t>
            </w:r>
            <w:proofErr w:type="spellEnd"/>
            <w:r>
              <w:t xml:space="preserve"> </w:t>
            </w:r>
            <w:proofErr w:type="spellStart"/>
            <w:r>
              <w:t>anifrolumab</w:t>
            </w:r>
            <w:proofErr w:type="spellEnd"/>
            <w:r>
              <w:t xml:space="preserve"> in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A </w:t>
            </w:r>
            <w:proofErr w:type="spellStart"/>
            <w:r>
              <w:t>Bayesian</w:t>
            </w:r>
            <w:proofErr w:type="spellEnd"/>
            <w:r>
              <w:t xml:space="preserve"> network meta-</w:t>
            </w:r>
            <w:proofErr w:type="spellStart"/>
            <w:r>
              <w:t>analysis</w:t>
            </w:r>
            <w:proofErr w:type="spellEnd"/>
            <w:r>
              <w:t xml:space="preserve"> </w:t>
            </w:r>
            <w:proofErr w:type="spellStart"/>
            <w:r>
              <w:t>of</w:t>
            </w:r>
            <w:proofErr w:type="spellEnd"/>
            <w:r>
              <w:t xml:space="preserve"> </w:t>
            </w:r>
            <w:proofErr w:type="spellStart"/>
            <w:r>
              <w:t>randomized</w:t>
            </w:r>
            <w:proofErr w:type="spellEnd"/>
            <w:r>
              <w:t xml:space="preserve"> </w:t>
            </w:r>
            <w:proofErr w:type="spellStart"/>
            <w:r>
              <w:t>controlled</w:t>
            </w:r>
            <w:proofErr w:type="spellEnd"/>
            <w:r>
              <w:t xml:space="preserve"> </w:t>
            </w:r>
            <w:proofErr w:type="spellStart"/>
            <w:r>
              <w:t>trials</w:t>
            </w:r>
            <w:proofErr w:type="spellEnd"/>
          </w:p>
        </w:tc>
        <w:tc>
          <w:tcPr>
            <w:tcW w:w="5910" w:type="dxa"/>
          </w:tcPr>
          <w:p w14:paraId="00E9A6E4" w14:textId="77777777" w:rsidR="00817793" w:rsidRDefault="002719FC">
            <w:pPr>
              <w:spacing w:before="120" w:after="120" w:line="240" w:lineRule="auto"/>
              <w:jc w:val="center"/>
            </w:pPr>
            <w:r>
              <w:t>Artigo sem publicação completa</w:t>
            </w:r>
          </w:p>
        </w:tc>
      </w:tr>
      <w:tr w:rsidR="00817793" w14:paraId="717F4339" w14:textId="77777777">
        <w:trPr>
          <w:trHeight w:val="415"/>
          <w:jc w:val="center"/>
        </w:trPr>
        <w:tc>
          <w:tcPr>
            <w:tcW w:w="3225" w:type="dxa"/>
          </w:tcPr>
          <w:p w14:paraId="3435E2CB" w14:textId="77777777" w:rsidR="00817793" w:rsidRDefault="002719FC">
            <w:pPr>
              <w:spacing w:before="120" w:after="120" w:line="240" w:lineRule="auto"/>
              <w:jc w:val="center"/>
            </w:pPr>
            <w:r>
              <w:t>Morand, 2020b</w:t>
            </w:r>
          </w:p>
          <w:p w14:paraId="3C9DCC55" w14:textId="77777777" w:rsidR="00817793" w:rsidRDefault="002719FC">
            <w:pPr>
              <w:spacing w:before="120" w:after="120" w:line="240" w:lineRule="auto"/>
              <w:jc w:val="center"/>
            </w:pP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patients</w:t>
            </w:r>
            <w:proofErr w:type="spellEnd"/>
            <w:r>
              <w:t xml:space="preserve"> </w:t>
            </w:r>
            <w:proofErr w:type="spellStart"/>
            <w:r>
              <w:t>with</w:t>
            </w:r>
            <w:proofErr w:type="spellEnd"/>
            <w:r>
              <w:t xml:space="preserve"> </w:t>
            </w:r>
            <w:proofErr w:type="spellStart"/>
            <w:r>
              <w:t>moderate</w:t>
            </w:r>
            <w:proofErr w:type="spellEnd"/>
            <w:r>
              <w:t xml:space="preserve"> </w:t>
            </w:r>
            <w:proofErr w:type="spellStart"/>
            <w:r>
              <w:t>to</w:t>
            </w:r>
            <w:proofErr w:type="spellEnd"/>
            <w:r>
              <w:t xml:space="preserve"> </w:t>
            </w:r>
            <w:proofErr w:type="spellStart"/>
            <w:r>
              <w:lastRenderedPageBreak/>
              <w:t>severe</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Results</w:t>
            </w:r>
            <w:proofErr w:type="spellEnd"/>
            <w:r>
              <w:t xml:space="preserve"> </w:t>
            </w:r>
            <w:proofErr w:type="spellStart"/>
            <w:r>
              <w:t>of</w:t>
            </w:r>
            <w:proofErr w:type="spellEnd"/>
            <w:r>
              <w:t xml:space="preserve"> </w:t>
            </w:r>
            <w:proofErr w:type="spellStart"/>
            <w:r>
              <w:t>the</w:t>
            </w:r>
            <w:proofErr w:type="spellEnd"/>
            <w:r>
              <w:t xml:space="preserve"> </w:t>
            </w:r>
            <w:proofErr w:type="spellStart"/>
            <w:r>
              <w:t>second</w:t>
            </w:r>
            <w:proofErr w:type="spellEnd"/>
            <w:r>
              <w:t xml:space="preserve"> </w:t>
            </w:r>
            <w:proofErr w:type="spellStart"/>
            <w:r>
              <w:t>phase</w:t>
            </w:r>
            <w:proofErr w:type="spellEnd"/>
            <w:r>
              <w:t xml:space="preserve"> 3 </w:t>
            </w:r>
            <w:proofErr w:type="spellStart"/>
            <w:r>
              <w:t>randomized</w:t>
            </w:r>
            <w:proofErr w:type="spellEnd"/>
            <w:r>
              <w:t xml:space="preserve"> </w:t>
            </w:r>
            <w:proofErr w:type="spellStart"/>
            <w:r>
              <w:t>controlled</w:t>
            </w:r>
            <w:proofErr w:type="spellEnd"/>
            <w:r>
              <w:t xml:space="preserve"> </w:t>
            </w:r>
            <w:proofErr w:type="spellStart"/>
            <w:r>
              <w:t>trial</w:t>
            </w:r>
            <w:proofErr w:type="spellEnd"/>
          </w:p>
        </w:tc>
        <w:tc>
          <w:tcPr>
            <w:tcW w:w="5910" w:type="dxa"/>
          </w:tcPr>
          <w:p w14:paraId="354EA47E" w14:textId="77777777" w:rsidR="00817793" w:rsidRDefault="002719FC">
            <w:pPr>
              <w:spacing w:before="120" w:after="120" w:line="240" w:lineRule="auto"/>
              <w:jc w:val="center"/>
            </w:pPr>
            <w:r>
              <w:lastRenderedPageBreak/>
              <w:t>Artigo publicado em forma de resumo</w:t>
            </w:r>
          </w:p>
        </w:tc>
      </w:tr>
      <w:tr w:rsidR="00817793" w14:paraId="242DCCD8" w14:textId="77777777">
        <w:trPr>
          <w:trHeight w:val="415"/>
          <w:jc w:val="center"/>
        </w:trPr>
        <w:tc>
          <w:tcPr>
            <w:tcW w:w="3225" w:type="dxa"/>
          </w:tcPr>
          <w:p w14:paraId="7CB77ACF" w14:textId="77777777" w:rsidR="00817793" w:rsidRPr="00115FE0" w:rsidRDefault="002719FC">
            <w:pPr>
              <w:spacing w:before="120" w:after="120" w:line="240" w:lineRule="auto"/>
              <w:jc w:val="center"/>
              <w:rPr>
                <w:lang w:val="de-DE"/>
              </w:rPr>
            </w:pPr>
            <w:r w:rsidRPr="00115FE0">
              <w:rPr>
                <w:lang w:val="de-DE"/>
              </w:rPr>
              <w:t>NCT01438489</w:t>
            </w:r>
          </w:p>
          <w:p w14:paraId="64D84FF4" w14:textId="77777777" w:rsidR="00817793" w:rsidRPr="00115FE0" w:rsidRDefault="002719FC">
            <w:pPr>
              <w:spacing w:before="120" w:after="120" w:line="240" w:lineRule="auto"/>
              <w:jc w:val="center"/>
              <w:rPr>
                <w:lang w:val="de-DE"/>
              </w:rPr>
            </w:pPr>
            <w:r w:rsidRPr="00115FE0">
              <w:rPr>
                <w:lang w:val="de-DE"/>
              </w:rPr>
              <w:t>A Study of the Efficacy and Safety of MEDI-546 in Systemic Lupus Erythematosus</w:t>
            </w:r>
          </w:p>
        </w:tc>
        <w:tc>
          <w:tcPr>
            <w:tcW w:w="5910" w:type="dxa"/>
          </w:tcPr>
          <w:p w14:paraId="01BB2499" w14:textId="77777777" w:rsidR="00817793" w:rsidRDefault="002719FC">
            <w:pPr>
              <w:spacing w:before="120" w:after="120" w:line="240" w:lineRule="auto"/>
              <w:jc w:val="center"/>
            </w:pPr>
            <w:r>
              <w:t>Desenho de estudo com desfechos reportados em outro artigo</w:t>
            </w:r>
          </w:p>
        </w:tc>
      </w:tr>
      <w:tr w:rsidR="00817793" w14:paraId="39925A40" w14:textId="77777777">
        <w:trPr>
          <w:trHeight w:val="415"/>
          <w:jc w:val="center"/>
        </w:trPr>
        <w:tc>
          <w:tcPr>
            <w:tcW w:w="3225" w:type="dxa"/>
          </w:tcPr>
          <w:p w14:paraId="795E4E65" w14:textId="77777777" w:rsidR="00817793" w:rsidRDefault="002719FC">
            <w:pPr>
              <w:spacing w:before="120" w:after="120" w:line="240" w:lineRule="auto"/>
              <w:jc w:val="center"/>
            </w:pPr>
            <w:r>
              <w:t>NCT02446899</w:t>
            </w:r>
          </w:p>
          <w:p w14:paraId="771EB32B" w14:textId="77777777" w:rsidR="00817793" w:rsidRDefault="002719FC">
            <w:pPr>
              <w:spacing w:before="120" w:after="120" w:line="240" w:lineRule="auto"/>
              <w:jc w:val="center"/>
            </w:pP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w:t>
            </w:r>
            <w:proofErr w:type="spellStart"/>
            <w:r>
              <w:t>Compared</w:t>
            </w:r>
            <w:proofErr w:type="spellEnd"/>
            <w:r>
              <w:t xml:space="preserve"> </w:t>
            </w:r>
            <w:proofErr w:type="spellStart"/>
            <w:r>
              <w:t>to</w:t>
            </w:r>
            <w:proofErr w:type="spellEnd"/>
            <w:r>
              <w:t xml:space="preserve"> Placebo in </w:t>
            </w:r>
            <w:proofErr w:type="spellStart"/>
            <w:r>
              <w:t>Adult</w:t>
            </w:r>
            <w:proofErr w:type="spellEnd"/>
            <w:r>
              <w:t xml:space="preserve"> </w:t>
            </w:r>
            <w:proofErr w:type="spellStart"/>
            <w:r>
              <w:t>Subjects</w:t>
            </w:r>
            <w:proofErr w:type="spellEnd"/>
            <w:r>
              <w:t xml:space="preserve"> </w:t>
            </w:r>
            <w:proofErr w:type="spellStart"/>
            <w:r>
              <w:t>With</w:t>
            </w:r>
            <w:proofErr w:type="spellEnd"/>
            <w:r>
              <w:t xml:space="preserve"> Active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910" w:type="dxa"/>
          </w:tcPr>
          <w:p w14:paraId="517E83F6" w14:textId="77777777" w:rsidR="00817793" w:rsidRDefault="002719FC">
            <w:pPr>
              <w:spacing w:before="120" w:after="120" w:line="240" w:lineRule="auto"/>
              <w:jc w:val="center"/>
            </w:pPr>
            <w:r>
              <w:t>Desenho de estudo com desfechos reportados em outro artigo</w:t>
            </w:r>
          </w:p>
        </w:tc>
      </w:tr>
      <w:tr w:rsidR="00817793" w14:paraId="518CF195" w14:textId="77777777">
        <w:trPr>
          <w:trHeight w:val="415"/>
          <w:jc w:val="center"/>
        </w:trPr>
        <w:tc>
          <w:tcPr>
            <w:tcW w:w="3225" w:type="dxa"/>
          </w:tcPr>
          <w:p w14:paraId="69CF134E" w14:textId="77777777" w:rsidR="00817793" w:rsidRDefault="002719FC">
            <w:pPr>
              <w:spacing w:before="120" w:after="120" w:line="240" w:lineRule="auto"/>
              <w:jc w:val="center"/>
            </w:pPr>
            <w:r>
              <w:t>NCT02794285</w:t>
            </w:r>
          </w:p>
          <w:p w14:paraId="04831B25" w14:textId="77777777" w:rsidR="00817793" w:rsidRDefault="002719FC">
            <w:pPr>
              <w:spacing w:before="120" w:after="120" w:line="240" w:lineRule="auto"/>
              <w:jc w:val="center"/>
            </w:pPr>
            <w:proofErr w:type="spellStart"/>
            <w:r>
              <w:t>Long</w:t>
            </w:r>
            <w:proofErr w:type="spellEnd"/>
            <w:r>
              <w:t xml:space="preserve"> </w:t>
            </w:r>
            <w:proofErr w:type="spellStart"/>
            <w:r>
              <w:t>Term</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Adult</w:t>
            </w:r>
            <w:proofErr w:type="spellEnd"/>
            <w:r>
              <w:t xml:space="preserve"> </w:t>
            </w:r>
            <w:proofErr w:type="spellStart"/>
            <w:r>
              <w:t>Subjects</w:t>
            </w:r>
            <w:proofErr w:type="spellEnd"/>
            <w:r>
              <w:t xml:space="preserve"> </w:t>
            </w:r>
            <w:proofErr w:type="spellStart"/>
            <w:r>
              <w:t>With</w:t>
            </w:r>
            <w:proofErr w:type="spellEnd"/>
            <w:r>
              <w:t xml:space="preserve"> Active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910" w:type="dxa"/>
          </w:tcPr>
          <w:p w14:paraId="1C40FF1B" w14:textId="77777777" w:rsidR="00817793" w:rsidRDefault="002719FC">
            <w:pPr>
              <w:spacing w:before="120" w:after="120" w:line="240" w:lineRule="auto"/>
              <w:jc w:val="center"/>
            </w:pPr>
            <w:r>
              <w:t>Desenho do estudo inadequado</w:t>
            </w:r>
          </w:p>
        </w:tc>
      </w:tr>
      <w:tr w:rsidR="00817793" w14:paraId="45885171" w14:textId="77777777">
        <w:trPr>
          <w:trHeight w:val="415"/>
          <w:jc w:val="center"/>
        </w:trPr>
        <w:tc>
          <w:tcPr>
            <w:tcW w:w="3225" w:type="dxa"/>
          </w:tcPr>
          <w:p w14:paraId="4FE3B57A" w14:textId="77777777" w:rsidR="00817793" w:rsidRDefault="002719FC">
            <w:pPr>
              <w:spacing w:before="120" w:after="120" w:line="240" w:lineRule="auto"/>
              <w:jc w:val="center"/>
            </w:pPr>
            <w:r>
              <w:t>NCT04877691</w:t>
            </w:r>
          </w:p>
          <w:p w14:paraId="095FD197" w14:textId="77777777" w:rsidR="00817793" w:rsidRDefault="002719FC">
            <w:pPr>
              <w:spacing w:before="120" w:after="120" w:line="240" w:lineRule="auto"/>
              <w:jc w:val="center"/>
            </w:pPr>
            <w:proofErr w:type="spellStart"/>
            <w:r>
              <w:t>Subcutaneous</w:t>
            </w:r>
            <w:proofErr w:type="spellEnd"/>
            <w:r>
              <w:t xml:space="preserve"> </w:t>
            </w:r>
            <w:proofErr w:type="spellStart"/>
            <w:r>
              <w:t>Anifrolumab</w:t>
            </w:r>
            <w:proofErr w:type="spellEnd"/>
            <w:r>
              <w:t xml:space="preserve"> in </w:t>
            </w:r>
            <w:proofErr w:type="spellStart"/>
            <w:r>
              <w:t>Adult</w:t>
            </w:r>
            <w:proofErr w:type="spellEnd"/>
            <w:r>
              <w:t xml:space="preserve">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(Tulip SC)</w:t>
            </w:r>
          </w:p>
        </w:tc>
        <w:tc>
          <w:tcPr>
            <w:tcW w:w="5910" w:type="dxa"/>
          </w:tcPr>
          <w:p w14:paraId="3E1E57BA" w14:textId="77777777" w:rsidR="00817793" w:rsidRDefault="002719FC">
            <w:pPr>
              <w:spacing w:before="120" w:after="120" w:line="240" w:lineRule="auto"/>
              <w:jc w:val="center"/>
            </w:pPr>
            <w:r>
              <w:t>Intervenção inapropriada</w:t>
            </w:r>
          </w:p>
        </w:tc>
      </w:tr>
      <w:tr w:rsidR="00817793" w14:paraId="1E49DB96" w14:textId="77777777">
        <w:trPr>
          <w:trHeight w:val="415"/>
          <w:jc w:val="center"/>
        </w:trPr>
        <w:tc>
          <w:tcPr>
            <w:tcW w:w="3225" w:type="dxa"/>
          </w:tcPr>
          <w:p w14:paraId="30202FE6" w14:textId="77777777" w:rsidR="00817793" w:rsidRDefault="002719FC">
            <w:pPr>
              <w:spacing w:before="120" w:after="120" w:line="240" w:lineRule="auto"/>
              <w:jc w:val="center"/>
            </w:pPr>
            <w:r>
              <w:t>NCT04931563</w:t>
            </w:r>
          </w:p>
          <w:p w14:paraId="157F6F51" w14:textId="77777777" w:rsidR="00817793" w:rsidRDefault="002719FC">
            <w:pPr>
              <w:spacing w:before="120" w:after="120" w:line="240" w:lineRule="auto"/>
              <w:jc w:val="center"/>
            </w:pPr>
            <w:proofErr w:type="spellStart"/>
            <w:r>
              <w:t>Anifrolumab</w:t>
            </w:r>
            <w:proofErr w:type="spellEnd"/>
            <w:r>
              <w:t xml:space="preserve"> </w:t>
            </w:r>
            <w:proofErr w:type="spellStart"/>
            <w:r>
              <w:t>Asian</w:t>
            </w:r>
            <w:proofErr w:type="spellEnd"/>
            <w:r>
              <w:t xml:space="preserve"> </w:t>
            </w:r>
            <w:proofErr w:type="spellStart"/>
            <w:r>
              <w:t>PhIII</w:t>
            </w:r>
            <w:proofErr w:type="spellEnd"/>
            <w:r>
              <w:t xml:space="preserve"> </w:t>
            </w:r>
            <w:proofErr w:type="spellStart"/>
            <w:r>
              <w:t>Efficacy</w:t>
            </w:r>
            <w:proofErr w:type="spellEnd"/>
            <w:r>
              <w:t xml:space="preserve"> </w:t>
            </w:r>
            <w:proofErr w:type="spellStart"/>
            <w:r>
              <w:t>Study</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(SLE)</w:t>
            </w:r>
          </w:p>
        </w:tc>
        <w:tc>
          <w:tcPr>
            <w:tcW w:w="5910" w:type="dxa"/>
          </w:tcPr>
          <w:p w14:paraId="60703B2B" w14:textId="77777777" w:rsidR="00817793" w:rsidRDefault="002719FC">
            <w:pPr>
              <w:spacing w:before="120" w:after="120" w:line="240" w:lineRule="auto"/>
              <w:jc w:val="center"/>
            </w:pPr>
            <w:r>
              <w:t>Estudo com resultados ainda não disponíveis</w:t>
            </w:r>
          </w:p>
        </w:tc>
      </w:tr>
      <w:tr w:rsidR="00817793" w14:paraId="276383E5" w14:textId="77777777">
        <w:trPr>
          <w:trHeight w:val="415"/>
          <w:jc w:val="center"/>
        </w:trPr>
        <w:tc>
          <w:tcPr>
            <w:tcW w:w="3225" w:type="dxa"/>
          </w:tcPr>
          <w:p w14:paraId="16DD32C8" w14:textId="77777777" w:rsidR="00817793" w:rsidRDefault="002719FC">
            <w:pPr>
              <w:spacing w:before="120" w:after="120" w:line="240" w:lineRule="auto"/>
              <w:jc w:val="center"/>
            </w:pPr>
            <w:r>
              <w:t>NCT05835310</w:t>
            </w:r>
          </w:p>
          <w:p w14:paraId="05620346" w14:textId="77777777" w:rsidR="00817793" w:rsidRDefault="002719FC">
            <w:pPr>
              <w:spacing w:before="120" w:after="120" w:line="240" w:lineRule="auto"/>
              <w:jc w:val="center"/>
            </w:pPr>
            <w:proofErr w:type="spellStart"/>
            <w:r>
              <w:t>An</w:t>
            </w:r>
            <w:proofErr w:type="spellEnd"/>
            <w:r>
              <w:t xml:space="preserve">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Study</w:t>
            </w:r>
            <w:proofErr w:type="spellEnd"/>
            <w:r>
              <w:t xml:space="preserve"> </w:t>
            </w:r>
            <w:proofErr w:type="spellStart"/>
            <w:r>
              <w:t>of</w:t>
            </w:r>
            <w:proofErr w:type="spellEnd"/>
            <w:r>
              <w:t xml:space="preserve"> </w:t>
            </w:r>
            <w:proofErr w:type="spellStart"/>
            <w:r>
              <w:t>Intravenous</w:t>
            </w:r>
            <w:proofErr w:type="spellEnd"/>
            <w:r>
              <w:t xml:space="preserve"> </w:t>
            </w:r>
            <w:proofErr w:type="spellStart"/>
            <w:r>
              <w:t>Anifrolumab</w:t>
            </w:r>
            <w:proofErr w:type="spellEnd"/>
            <w:r>
              <w:t xml:space="preserve"> </w:t>
            </w:r>
            <w:proofErr w:type="spellStart"/>
            <w:r>
              <w:t>to</w:t>
            </w:r>
            <w:proofErr w:type="spellEnd"/>
            <w:r>
              <w:t xml:space="preserve"> </w:t>
            </w:r>
            <w:proofErr w:type="spellStart"/>
            <w:r>
              <w:t>Treat</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in </w:t>
            </w:r>
            <w:proofErr w:type="spellStart"/>
            <w:r>
              <w:t>Pediatric</w:t>
            </w:r>
            <w:proofErr w:type="spellEnd"/>
            <w:r>
              <w:t xml:space="preserve"> </w:t>
            </w:r>
            <w:proofErr w:type="spellStart"/>
            <w:r>
              <w:t>Participants</w:t>
            </w:r>
            <w:proofErr w:type="spellEnd"/>
            <w:r>
              <w:t xml:space="preserve"> (SLE)</w:t>
            </w:r>
          </w:p>
        </w:tc>
        <w:tc>
          <w:tcPr>
            <w:tcW w:w="5910" w:type="dxa"/>
          </w:tcPr>
          <w:p w14:paraId="094E4DAA" w14:textId="77777777" w:rsidR="00817793" w:rsidRDefault="002719FC">
            <w:pPr>
              <w:spacing w:before="120" w:after="120" w:line="240" w:lineRule="auto"/>
              <w:jc w:val="center"/>
            </w:pPr>
            <w:r>
              <w:t>Estudo com resultados ainda não disponíveis</w:t>
            </w:r>
          </w:p>
        </w:tc>
      </w:tr>
      <w:tr w:rsidR="00817793" w14:paraId="1597BCDE" w14:textId="77777777">
        <w:trPr>
          <w:trHeight w:val="415"/>
          <w:jc w:val="center"/>
        </w:trPr>
        <w:tc>
          <w:tcPr>
            <w:tcW w:w="3225" w:type="dxa"/>
          </w:tcPr>
          <w:p w14:paraId="3C78341A" w14:textId="77777777" w:rsidR="00817793" w:rsidRDefault="002719FC">
            <w:pPr>
              <w:spacing w:before="120" w:after="120" w:line="240" w:lineRule="auto"/>
              <w:jc w:val="center"/>
            </w:pPr>
            <w:proofErr w:type="spellStart"/>
            <w:r>
              <w:t>Poliroux</w:t>
            </w:r>
            <w:proofErr w:type="spellEnd"/>
            <w:r>
              <w:t>, 2019</w:t>
            </w:r>
          </w:p>
          <w:p w14:paraId="556571B7" w14:textId="77777777" w:rsidR="00817793" w:rsidRDefault="002719FC">
            <w:pPr>
              <w:spacing w:before="120" w:after="120" w:line="240" w:lineRule="auto"/>
              <w:jc w:val="center"/>
            </w:pPr>
            <w:r>
              <w:t xml:space="preserve">Response rate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in </w:t>
            </w:r>
            <w:proofErr w:type="spellStart"/>
            <w:r>
              <w:t>trials</w:t>
            </w:r>
            <w:proofErr w:type="spellEnd"/>
            <w:r>
              <w:t xml:space="preserve"> </w:t>
            </w:r>
            <w:proofErr w:type="spellStart"/>
            <w:r>
              <w:t>assessing</w:t>
            </w:r>
            <w:proofErr w:type="spellEnd"/>
            <w:r>
              <w:t xml:space="preserve"> </w:t>
            </w:r>
            <w:proofErr w:type="spellStart"/>
            <w:r>
              <w:t>biologic</w:t>
            </w:r>
            <w:proofErr w:type="spellEnd"/>
            <w:r>
              <w:t xml:space="preserve"> </w:t>
            </w:r>
            <w:proofErr w:type="spellStart"/>
            <w:r>
              <w:t>agents</w:t>
            </w:r>
            <w:proofErr w:type="spellEnd"/>
            <w:r>
              <w:t>: A meta-</w:t>
            </w:r>
            <w:proofErr w:type="spellStart"/>
            <w:r>
              <w:t>analysis</w:t>
            </w:r>
            <w:proofErr w:type="spellEnd"/>
          </w:p>
        </w:tc>
        <w:tc>
          <w:tcPr>
            <w:tcW w:w="5910" w:type="dxa"/>
          </w:tcPr>
          <w:p w14:paraId="6F3B8E89" w14:textId="77777777" w:rsidR="00817793" w:rsidRDefault="002719FC">
            <w:pPr>
              <w:spacing w:before="120" w:after="120" w:line="240" w:lineRule="auto"/>
              <w:jc w:val="center"/>
            </w:pPr>
            <w:r>
              <w:t>Artigo publicado em forma de resumo</w:t>
            </w:r>
          </w:p>
        </w:tc>
      </w:tr>
      <w:tr w:rsidR="00817793" w14:paraId="7CE306C6" w14:textId="77777777">
        <w:trPr>
          <w:trHeight w:val="415"/>
          <w:jc w:val="center"/>
        </w:trPr>
        <w:tc>
          <w:tcPr>
            <w:tcW w:w="3225" w:type="dxa"/>
          </w:tcPr>
          <w:p w14:paraId="0186005A" w14:textId="77777777" w:rsidR="00817793" w:rsidRDefault="002719FC">
            <w:pPr>
              <w:spacing w:before="120" w:after="120" w:line="240" w:lineRule="auto"/>
              <w:jc w:val="center"/>
            </w:pPr>
            <w:proofErr w:type="spellStart"/>
            <w:r>
              <w:lastRenderedPageBreak/>
              <w:t>Razzack</w:t>
            </w:r>
            <w:proofErr w:type="spellEnd"/>
            <w:r>
              <w:t>, 2021</w:t>
            </w:r>
          </w:p>
          <w:p w14:paraId="69B47E15" w14:textId="77777777" w:rsidR="00817793" w:rsidRDefault="002719FC">
            <w:pPr>
              <w:spacing w:before="120" w:after="120" w:line="240" w:lineRule="auto"/>
              <w:jc w:val="center"/>
            </w:pPr>
            <w:proofErr w:type="spellStart"/>
            <w:r>
              <w:t>Anifrolumab</w:t>
            </w:r>
            <w:proofErr w:type="spellEnd"/>
            <w:r>
              <w:t xml:space="preserve">, </w:t>
            </w:r>
            <w:proofErr w:type="spellStart"/>
            <w:r>
              <w:t>an</w:t>
            </w:r>
            <w:proofErr w:type="spellEnd"/>
            <w:r>
              <w:t xml:space="preserve"> </w:t>
            </w:r>
            <w:proofErr w:type="spellStart"/>
            <w:r>
              <w:t>anti-interferon-a</w:t>
            </w:r>
            <w:proofErr w:type="spellEnd"/>
            <w:r>
              <w:t xml:space="preserve"> receptor monoclonal </w:t>
            </w:r>
            <w:proofErr w:type="spellStart"/>
            <w:r>
              <w:t>antibody</w:t>
            </w:r>
            <w:proofErr w:type="spellEnd"/>
            <w:r>
              <w:t xml:space="preserve"> in </w:t>
            </w:r>
            <w:proofErr w:type="spellStart"/>
            <w:r>
              <w:t>systemic</w:t>
            </w:r>
            <w:proofErr w:type="spellEnd"/>
            <w:r>
              <w:t xml:space="preserve"> </w:t>
            </w:r>
            <w:proofErr w:type="spellStart"/>
            <w:r>
              <w:t>lupus</w:t>
            </w:r>
            <w:proofErr w:type="spellEnd"/>
            <w:r>
              <w:t xml:space="preserve"> </w:t>
            </w:r>
            <w:proofErr w:type="spellStart"/>
            <w:r>
              <w:t>erythematosus-a</w:t>
            </w:r>
            <w:proofErr w:type="spellEnd"/>
            <w:r>
              <w:t xml:space="preserve"> meta </w:t>
            </w:r>
            <w:proofErr w:type="spellStart"/>
            <w:r>
              <w:t>analysis</w:t>
            </w:r>
            <w:proofErr w:type="spellEnd"/>
          </w:p>
        </w:tc>
        <w:tc>
          <w:tcPr>
            <w:tcW w:w="5910" w:type="dxa"/>
          </w:tcPr>
          <w:p w14:paraId="4F1A0D3E" w14:textId="77777777" w:rsidR="00817793" w:rsidRDefault="002719FC">
            <w:pPr>
              <w:spacing w:before="120" w:after="120" w:line="240" w:lineRule="auto"/>
              <w:jc w:val="center"/>
            </w:pPr>
            <w:r>
              <w:t>Artigo publicado em forma de resumo</w:t>
            </w:r>
          </w:p>
        </w:tc>
      </w:tr>
      <w:tr w:rsidR="00817793" w14:paraId="2E73DC9D" w14:textId="77777777">
        <w:trPr>
          <w:trHeight w:val="415"/>
          <w:jc w:val="center"/>
        </w:trPr>
        <w:tc>
          <w:tcPr>
            <w:tcW w:w="3225" w:type="dxa"/>
          </w:tcPr>
          <w:p w14:paraId="73489A2F" w14:textId="77777777" w:rsidR="00817793" w:rsidRDefault="002719FC">
            <w:pPr>
              <w:spacing w:before="120" w:after="120" w:line="240" w:lineRule="auto"/>
              <w:jc w:val="center"/>
            </w:pPr>
            <w:r>
              <w:t>Strand, 2022</w:t>
            </w:r>
          </w:p>
          <w:p w14:paraId="4D566BFE" w14:textId="77777777" w:rsidR="00817793" w:rsidRDefault="002719FC">
            <w:pPr>
              <w:spacing w:before="120" w:after="120" w:line="240" w:lineRule="auto"/>
              <w:jc w:val="center"/>
            </w:pPr>
            <w:r>
              <w:t xml:space="preserve">Clinical </w:t>
            </w:r>
            <w:proofErr w:type="spellStart"/>
            <w:r>
              <w:t>meaningfulness</w:t>
            </w:r>
            <w:proofErr w:type="spellEnd"/>
            <w:r>
              <w:t xml:space="preserve"> </w:t>
            </w:r>
            <w:proofErr w:type="spellStart"/>
            <w:r>
              <w:t>of</w:t>
            </w:r>
            <w:proofErr w:type="spellEnd"/>
            <w:r>
              <w:t xml:space="preserve"> a British </w:t>
            </w:r>
            <w:proofErr w:type="spellStart"/>
            <w:r>
              <w:t>Isles</w:t>
            </w:r>
            <w:proofErr w:type="spellEnd"/>
            <w:r>
              <w:t xml:space="preserve"> </w:t>
            </w:r>
            <w:proofErr w:type="spellStart"/>
            <w:r>
              <w:t>Lupus</w:t>
            </w:r>
            <w:proofErr w:type="spellEnd"/>
            <w:r>
              <w:t xml:space="preserve"> Assessment </w:t>
            </w:r>
            <w:proofErr w:type="spellStart"/>
            <w:r>
              <w:t>Group-based</w:t>
            </w:r>
            <w:proofErr w:type="spellEnd"/>
            <w:r>
              <w:t xml:space="preserve"> </w:t>
            </w:r>
            <w:proofErr w:type="spellStart"/>
            <w:r>
              <w:t>Composite</w:t>
            </w:r>
            <w:proofErr w:type="spellEnd"/>
            <w:r>
              <w:t xml:space="preserve"> </w:t>
            </w:r>
            <w:proofErr w:type="spellStart"/>
            <w:r>
              <w:t>Lupus</w:t>
            </w:r>
            <w:proofErr w:type="spellEnd"/>
            <w:r>
              <w:t xml:space="preserve"> Assessment response in </w:t>
            </w:r>
            <w:proofErr w:type="spellStart"/>
            <w:r>
              <w:t>terms</w:t>
            </w:r>
            <w:proofErr w:type="spellEnd"/>
            <w:r>
              <w:t xml:space="preserve"> </w:t>
            </w:r>
            <w:proofErr w:type="spellStart"/>
            <w:r>
              <w:t>of</w:t>
            </w:r>
            <w:proofErr w:type="spellEnd"/>
            <w:r>
              <w:t xml:space="preserve"> </w:t>
            </w:r>
            <w:proofErr w:type="spellStart"/>
            <w:r>
              <w:t>patient-reported</w:t>
            </w:r>
            <w:proofErr w:type="spellEnd"/>
            <w:r>
              <w:t xml:space="preserve"> </w:t>
            </w:r>
            <w:proofErr w:type="spellStart"/>
            <w:r>
              <w:t>outcomes</w:t>
            </w:r>
            <w:proofErr w:type="spellEnd"/>
            <w:r>
              <w:t xml:space="preserve"> in </w:t>
            </w:r>
            <w:proofErr w:type="spellStart"/>
            <w:r>
              <w:t>moderate</w:t>
            </w:r>
            <w:proofErr w:type="spellEnd"/>
            <w:r>
              <w:t xml:space="preserve"> </w:t>
            </w:r>
            <w:proofErr w:type="spellStart"/>
            <w:r>
              <w:t>to</w:t>
            </w:r>
            <w:proofErr w:type="spellEnd"/>
            <w:r>
              <w:t xml:space="preserve"> </w:t>
            </w:r>
            <w:proofErr w:type="spellStart"/>
            <w:r>
              <w:t>severe</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a post-hoc </w:t>
            </w:r>
            <w:proofErr w:type="spellStart"/>
            <w:r>
              <w:t>analysis</w:t>
            </w:r>
            <w:proofErr w:type="spellEnd"/>
            <w:r>
              <w:t xml:space="preserve"> </w:t>
            </w:r>
            <w:proofErr w:type="spellStart"/>
            <w:r>
              <w:t>of</w:t>
            </w:r>
            <w:proofErr w:type="spellEnd"/>
            <w:r>
              <w:t xml:space="preserve"> </w:t>
            </w:r>
            <w:proofErr w:type="spellStart"/>
            <w:r>
              <w:t>the</w:t>
            </w:r>
            <w:proofErr w:type="spellEnd"/>
            <w:r>
              <w:t xml:space="preserve"> </w:t>
            </w:r>
            <w:proofErr w:type="spellStart"/>
            <w:r>
              <w:t>phase</w:t>
            </w:r>
            <w:proofErr w:type="spellEnd"/>
            <w:r>
              <w:t xml:space="preserve"> 3 TULIP-1 </w:t>
            </w:r>
            <w:proofErr w:type="spellStart"/>
            <w:r>
              <w:t>and</w:t>
            </w:r>
            <w:proofErr w:type="spellEnd"/>
            <w:r>
              <w:t xml:space="preserve"> TULIP-2 </w:t>
            </w:r>
            <w:proofErr w:type="spellStart"/>
            <w:r>
              <w:t>trials</w:t>
            </w:r>
            <w:proofErr w:type="spellEnd"/>
            <w:r>
              <w:t xml:space="preserve"> </w:t>
            </w:r>
            <w:proofErr w:type="spellStart"/>
            <w:r>
              <w:t>of</w:t>
            </w:r>
            <w:proofErr w:type="spellEnd"/>
            <w:r>
              <w:t xml:space="preserve"> </w:t>
            </w:r>
            <w:proofErr w:type="spellStart"/>
            <w:r>
              <w:t>anifrolumab</w:t>
            </w:r>
            <w:proofErr w:type="spellEnd"/>
          </w:p>
        </w:tc>
        <w:tc>
          <w:tcPr>
            <w:tcW w:w="5910" w:type="dxa"/>
          </w:tcPr>
          <w:p w14:paraId="2FE249A8" w14:textId="77777777" w:rsidR="00817793" w:rsidRDefault="002719FC">
            <w:pPr>
              <w:spacing w:before="120" w:after="120" w:line="240" w:lineRule="auto"/>
              <w:jc w:val="center"/>
            </w:pPr>
            <w:r>
              <w:t>Desfecho inapropriado ou não reportado</w:t>
            </w:r>
          </w:p>
        </w:tc>
      </w:tr>
      <w:tr w:rsidR="00817793" w14:paraId="6D18EE22" w14:textId="77777777">
        <w:trPr>
          <w:trHeight w:val="415"/>
          <w:jc w:val="center"/>
        </w:trPr>
        <w:tc>
          <w:tcPr>
            <w:tcW w:w="3225" w:type="dxa"/>
          </w:tcPr>
          <w:p w14:paraId="1B98C8B8" w14:textId="77777777" w:rsidR="00817793" w:rsidRDefault="002719FC">
            <w:pPr>
              <w:spacing w:before="120" w:after="120" w:line="240" w:lineRule="auto"/>
              <w:jc w:val="center"/>
            </w:pPr>
            <w:proofErr w:type="spellStart"/>
            <w:r>
              <w:t>Tummala</w:t>
            </w:r>
            <w:proofErr w:type="spellEnd"/>
            <w:r>
              <w:t>, 2018</w:t>
            </w:r>
          </w:p>
          <w:p w14:paraId="2EC0B53D" w14:textId="77777777" w:rsidR="00817793" w:rsidRDefault="002719FC">
            <w:pPr>
              <w:spacing w:before="120" w:after="120" w:line="240" w:lineRule="auto"/>
              <w:jc w:val="center"/>
            </w:pPr>
            <w:proofErr w:type="spellStart"/>
            <w:r>
              <w:t>Safety</w:t>
            </w:r>
            <w:proofErr w:type="spellEnd"/>
            <w:r>
              <w:t xml:space="preserve">, </w:t>
            </w:r>
            <w:proofErr w:type="spellStart"/>
            <w:r>
              <w:t>tolerability</w:t>
            </w:r>
            <w:proofErr w:type="spellEnd"/>
            <w:r>
              <w:t xml:space="preserve"> </w:t>
            </w:r>
            <w:proofErr w:type="spellStart"/>
            <w:r>
              <w:t>and</w:t>
            </w:r>
            <w:proofErr w:type="spellEnd"/>
            <w:r>
              <w:t xml:space="preserve"> </w:t>
            </w:r>
            <w:proofErr w:type="spellStart"/>
            <w:r>
              <w:t>pharmacokinetics</w:t>
            </w:r>
            <w:proofErr w:type="spellEnd"/>
            <w:r>
              <w:t xml:space="preserve"> </w:t>
            </w:r>
            <w:proofErr w:type="spellStart"/>
            <w:r>
              <w:t>of</w:t>
            </w:r>
            <w:proofErr w:type="spellEnd"/>
            <w:r>
              <w:t xml:space="preserve"> </w:t>
            </w:r>
            <w:proofErr w:type="spellStart"/>
            <w:r>
              <w:t>subcutaneous</w:t>
            </w:r>
            <w:proofErr w:type="spellEnd"/>
            <w:r>
              <w:t xml:space="preserve"> </w:t>
            </w:r>
            <w:proofErr w:type="spellStart"/>
            <w:r>
              <w:t>and</w:t>
            </w:r>
            <w:proofErr w:type="spellEnd"/>
            <w:r>
              <w:t xml:space="preserve"> </w:t>
            </w:r>
            <w:proofErr w:type="spellStart"/>
            <w:r>
              <w:t>intravenous</w:t>
            </w:r>
            <w:proofErr w:type="spellEnd"/>
            <w:r>
              <w:t xml:space="preserve"> </w:t>
            </w:r>
            <w:proofErr w:type="spellStart"/>
            <w:r>
              <w:t>anifrolumab</w:t>
            </w:r>
            <w:proofErr w:type="spellEnd"/>
            <w:r>
              <w:t xml:space="preserve"> in </w:t>
            </w:r>
            <w:proofErr w:type="spellStart"/>
            <w:r>
              <w:t>healthy</w:t>
            </w:r>
            <w:proofErr w:type="spellEnd"/>
            <w:r>
              <w:t xml:space="preserve"> </w:t>
            </w:r>
            <w:proofErr w:type="spellStart"/>
            <w:r>
              <w:t>volunteers</w:t>
            </w:r>
            <w:proofErr w:type="spellEnd"/>
          </w:p>
        </w:tc>
        <w:tc>
          <w:tcPr>
            <w:tcW w:w="5910" w:type="dxa"/>
          </w:tcPr>
          <w:p w14:paraId="46A96223" w14:textId="77777777" w:rsidR="00817793" w:rsidRDefault="002719FC">
            <w:pPr>
              <w:spacing w:before="120" w:after="120" w:line="240" w:lineRule="auto"/>
              <w:jc w:val="center"/>
            </w:pPr>
            <w:r>
              <w:t>Desenho do estudo inadequado</w:t>
            </w:r>
          </w:p>
        </w:tc>
      </w:tr>
      <w:tr w:rsidR="00817793" w14:paraId="1805CF26" w14:textId="77777777">
        <w:trPr>
          <w:trHeight w:val="415"/>
          <w:jc w:val="center"/>
        </w:trPr>
        <w:tc>
          <w:tcPr>
            <w:tcW w:w="3225" w:type="dxa"/>
          </w:tcPr>
          <w:p w14:paraId="15B97BC0" w14:textId="77777777" w:rsidR="00817793" w:rsidRDefault="002719FC">
            <w:pPr>
              <w:spacing w:before="120" w:after="120" w:line="240" w:lineRule="auto"/>
              <w:jc w:val="center"/>
            </w:pPr>
            <w:proofErr w:type="spellStart"/>
            <w:r>
              <w:t>Ueha</w:t>
            </w:r>
            <w:proofErr w:type="spellEnd"/>
            <w:r>
              <w:t>, 2022</w:t>
            </w:r>
          </w:p>
          <w:p w14:paraId="7E7014BB" w14:textId="77777777" w:rsidR="00817793" w:rsidRDefault="002719FC">
            <w:pPr>
              <w:spacing w:before="120" w:after="120" w:line="240" w:lineRule="auto"/>
              <w:jc w:val="center"/>
            </w:pPr>
            <w:proofErr w:type="spellStart"/>
            <w:r>
              <w:t>Pharmacological</w:t>
            </w:r>
            <w:proofErr w:type="spellEnd"/>
            <w:r>
              <w:t xml:space="preserve"> </w:t>
            </w:r>
            <w:proofErr w:type="spellStart"/>
            <w:r>
              <w:t>actions</w:t>
            </w:r>
            <w:proofErr w:type="spellEnd"/>
            <w:r>
              <w:t xml:space="preserve"> </w:t>
            </w:r>
            <w:proofErr w:type="spellStart"/>
            <w:r>
              <w:t>of</w:t>
            </w:r>
            <w:proofErr w:type="spellEnd"/>
            <w:r>
              <w:t xml:space="preserve"> </w:t>
            </w:r>
            <w:proofErr w:type="spellStart"/>
            <w:r>
              <w:t>anifrolumab</w:t>
            </w:r>
            <w:proofErr w:type="spellEnd"/>
            <w:r>
              <w:t xml:space="preserve"> (</w:t>
            </w:r>
            <w:proofErr w:type="spellStart"/>
            <w:r>
              <w:t>Saphnelo</w:t>
            </w:r>
            <w:proofErr w:type="spellEnd"/>
            <w:r>
              <w:t xml:space="preserve">®) </w:t>
            </w:r>
            <w:proofErr w:type="spellStart"/>
            <w:r>
              <w:t>and</w:t>
            </w:r>
            <w:proofErr w:type="spellEnd"/>
            <w:r>
              <w:t xml:space="preserve"> </w:t>
            </w:r>
            <w:proofErr w:type="spellStart"/>
            <w:r>
              <w:t>clinical</w:t>
            </w:r>
            <w:proofErr w:type="spellEnd"/>
            <w:r>
              <w:t xml:space="preserve"> </w:t>
            </w:r>
            <w:proofErr w:type="spellStart"/>
            <w:r>
              <w:t>trial</w:t>
            </w:r>
            <w:proofErr w:type="spellEnd"/>
            <w:r>
              <w:t xml:space="preserve"> </w:t>
            </w:r>
            <w:proofErr w:type="spellStart"/>
            <w:r>
              <w:t>results</w:t>
            </w:r>
            <w:proofErr w:type="spellEnd"/>
            <w:r>
              <w:t xml:space="preserve"> as a </w:t>
            </w:r>
            <w:proofErr w:type="spellStart"/>
            <w:r>
              <w:t>treatment</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910" w:type="dxa"/>
          </w:tcPr>
          <w:p w14:paraId="3DA0A44E" w14:textId="77777777" w:rsidR="00817793" w:rsidRDefault="002719FC">
            <w:pPr>
              <w:spacing w:before="120" w:after="120" w:line="240" w:lineRule="auto"/>
              <w:jc w:val="center"/>
            </w:pPr>
            <w:r>
              <w:t>Desenho do estudo inadequado</w:t>
            </w:r>
          </w:p>
        </w:tc>
      </w:tr>
      <w:tr w:rsidR="00817793" w14:paraId="6B5725FA" w14:textId="77777777">
        <w:trPr>
          <w:trHeight w:val="478"/>
          <w:jc w:val="center"/>
        </w:trPr>
        <w:tc>
          <w:tcPr>
            <w:tcW w:w="9135" w:type="dxa"/>
            <w:gridSpan w:val="2"/>
            <w:shd w:val="clear" w:color="auto" w:fill="D9E2F3"/>
          </w:tcPr>
          <w:p w14:paraId="420DA2DB" w14:textId="77777777" w:rsidR="00817793" w:rsidRDefault="002719FC">
            <w:pPr>
              <w:spacing w:before="120" w:after="120" w:line="240" w:lineRule="auto"/>
              <w:jc w:val="center"/>
              <w:rPr>
                <w:b/>
              </w:rPr>
            </w:pPr>
            <w:r>
              <w:rPr>
                <w:b/>
              </w:rPr>
              <w:t>PARECERISTA</w:t>
            </w:r>
          </w:p>
        </w:tc>
      </w:tr>
      <w:tr w:rsidR="00817793" w14:paraId="2B3DBB42" w14:textId="77777777">
        <w:trPr>
          <w:trHeight w:val="414"/>
          <w:jc w:val="center"/>
        </w:trPr>
        <w:tc>
          <w:tcPr>
            <w:tcW w:w="3225" w:type="dxa"/>
          </w:tcPr>
          <w:p w14:paraId="19DA7A02" w14:textId="77777777" w:rsidR="00817793" w:rsidRDefault="002719FC">
            <w:pPr>
              <w:spacing w:before="120" w:after="120" w:line="240" w:lineRule="auto"/>
              <w:jc w:val="center"/>
              <w:rPr>
                <w:b/>
                <w:highlight w:val="lightGray"/>
              </w:rPr>
            </w:pPr>
            <w:r>
              <w:rPr>
                <w:b/>
              </w:rPr>
              <w:t>Estudo</w:t>
            </w:r>
          </w:p>
        </w:tc>
        <w:tc>
          <w:tcPr>
            <w:tcW w:w="5910" w:type="dxa"/>
          </w:tcPr>
          <w:p w14:paraId="27E4ACAB" w14:textId="77777777" w:rsidR="00817793" w:rsidRDefault="002719FC">
            <w:pPr>
              <w:spacing w:before="120" w:after="120" w:line="240" w:lineRule="auto"/>
              <w:jc w:val="center"/>
              <w:rPr>
                <w:b/>
              </w:rPr>
            </w:pPr>
            <w:r>
              <w:rPr>
                <w:b/>
              </w:rPr>
              <w:t>Razão para exclusão</w:t>
            </w:r>
          </w:p>
        </w:tc>
      </w:tr>
      <w:tr w:rsidR="00817793" w14:paraId="7E1F2102" w14:textId="77777777">
        <w:trPr>
          <w:trHeight w:val="413"/>
          <w:jc w:val="center"/>
        </w:trPr>
        <w:tc>
          <w:tcPr>
            <w:tcW w:w="3225" w:type="dxa"/>
          </w:tcPr>
          <w:p w14:paraId="08652414" w14:textId="77777777" w:rsidR="00817793" w:rsidRDefault="002719FC">
            <w:pPr>
              <w:spacing w:before="120" w:after="120" w:line="240" w:lineRule="auto"/>
              <w:jc w:val="center"/>
            </w:pPr>
            <w:r>
              <w:t>Chan et al. (2023)</w:t>
            </w:r>
          </w:p>
        </w:tc>
        <w:tc>
          <w:tcPr>
            <w:tcW w:w="5910" w:type="dxa"/>
          </w:tcPr>
          <w:p w14:paraId="41A5DC1E" w14:textId="77777777" w:rsidR="00817793" w:rsidRDefault="002719FC">
            <w:pPr>
              <w:spacing w:before="120" w:after="120" w:line="240" w:lineRule="auto"/>
            </w:pPr>
            <w:r>
              <w:t xml:space="preserve">Revisão sistemática que avalia segurança e eficácia dos agentes biológicos usados ​​no tratamento </w:t>
            </w:r>
            <w:proofErr w:type="gramStart"/>
            <w:r>
              <w:t>do lúpus</w:t>
            </w:r>
            <w:proofErr w:type="gramEnd"/>
            <w:r>
              <w:t xml:space="preserve"> eritematoso sistêmico (LES) em adultos. Os estudos incluídos não atendem ao critério estabelecido na PICO relacionado à população e ao comparador. Incluem outros imunobiológicos como comparador</w:t>
            </w:r>
          </w:p>
        </w:tc>
      </w:tr>
      <w:tr w:rsidR="00817793" w14:paraId="2E3E5460" w14:textId="77777777">
        <w:trPr>
          <w:trHeight w:val="413"/>
          <w:jc w:val="center"/>
        </w:trPr>
        <w:tc>
          <w:tcPr>
            <w:tcW w:w="3225" w:type="dxa"/>
          </w:tcPr>
          <w:p w14:paraId="720877FF" w14:textId="77777777" w:rsidR="00817793" w:rsidRDefault="002719FC">
            <w:pPr>
              <w:spacing w:before="120" w:after="120" w:line="240" w:lineRule="auto"/>
              <w:jc w:val="center"/>
            </w:pPr>
            <w:proofErr w:type="spellStart"/>
            <w:r>
              <w:t>Cingireddy</w:t>
            </w:r>
            <w:proofErr w:type="spellEnd"/>
            <w:r>
              <w:t xml:space="preserve"> et al. (2024)</w:t>
            </w:r>
          </w:p>
        </w:tc>
        <w:tc>
          <w:tcPr>
            <w:tcW w:w="5910" w:type="dxa"/>
          </w:tcPr>
          <w:p w14:paraId="7856A6D9" w14:textId="77777777" w:rsidR="00817793" w:rsidRDefault="002719FC">
            <w:pPr>
              <w:spacing w:before="120" w:after="120" w:line="240" w:lineRule="auto"/>
            </w:pPr>
            <w:r>
              <w:t xml:space="preserve">Revisão sistemática que avalia segurança e eficácia dos agentes biológicos usados ​​no tratamento </w:t>
            </w:r>
            <w:proofErr w:type="gramStart"/>
            <w:r>
              <w:t>do lúpus</w:t>
            </w:r>
            <w:proofErr w:type="gramEnd"/>
            <w:r>
              <w:t xml:space="preserve"> eritematoso sistêmico (LES) em adultos. Os estudos incluídos não atendem ao critério </w:t>
            </w:r>
            <w:r>
              <w:lastRenderedPageBreak/>
              <w:t xml:space="preserve">estabelecido na PICO relacionado à inclusão de ensaios clínicos de fase II. </w:t>
            </w:r>
          </w:p>
        </w:tc>
      </w:tr>
      <w:tr w:rsidR="00817793" w14:paraId="6A8F7EB7" w14:textId="77777777">
        <w:trPr>
          <w:trHeight w:val="413"/>
          <w:jc w:val="center"/>
        </w:trPr>
        <w:tc>
          <w:tcPr>
            <w:tcW w:w="3225" w:type="dxa"/>
          </w:tcPr>
          <w:p w14:paraId="1D8B9218" w14:textId="77777777" w:rsidR="00817793" w:rsidRDefault="002719FC">
            <w:pPr>
              <w:spacing w:before="120" w:after="120" w:line="240" w:lineRule="auto"/>
              <w:jc w:val="center"/>
            </w:pPr>
            <w:r>
              <w:lastRenderedPageBreak/>
              <w:t>Koh et al. (2020)</w:t>
            </w:r>
          </w:p>
        </w:tc>
        <w:tc>
          <w:tcPr>
            <w:tcW w:w="5910" w:type="dxa"/>
          </w:tcPr>
          <w:p w14:paraId="7BFD02AE" w14:textId="77777777" w:rsidR="00817793" w:rsidRDefault="002719FC">
            <w:pPr>
              <w:spacing w:before="120" w:after="120" w:line="240" w:lineRule="auto"/>
            </w:pPr>
            <w:r>
              <w:t xml:space="preserve">Revisão sistemática que avalia segurança e eficácia dos agentes biológicos usados ​​no tratamento </w:t>
            </w:r>
            <w:proofErr w:type="gramStart"/>
            <w:r>
              <w:t>do lúpus</w:t>
            </w:r>
            <w:proofErr w:type="gramEnd"/>
            <w:r>
              <w:t xml:space="preserve"> eritematoso sistêmico (LES) em adultos. Os estudos incluídos não atendem ao critério estabelecido na PICO relacionado à população e ao comparador. Incluem outros imunobiológicos como comparador</w:t>
            </w:r>
          </w:p>
        </w:tc>
      </w:tr>
      <w:tr w:rsidR="00817793" w14:paraId="677A5D96" w14:textId="77777777">
        <w:trPr>
          <w:trHeight w:val="413"/>
          <w:jc w:val="center"/>
        </w:trPr>
        <w:tc>
          <w:tcPr>
            <w:tcW w:w="3225" w:type="dxa"/>
          </w:tcPr>
          <w:p w14:paraId="2E9C4B85" w14:textId="77777777" w:rsidR="00817793" w:rsidRDefault="002719FC">
            <w:pPr>
              <w:spacing w:before="120" w:after="120" w:line="240" w:lineRule="auto"/>
              <w:jc w:val="center"/>
            </w:pPr>
            <w:r>
              <w:t>Lee et al. (2020)</w:t>
            </w:r>
          </w:p>
        </w:tc>
        <w:tc>
          <w:tcPr>
            <w:tcW w:w="5910" w:type="dxa"/>
          </w:tcPr>
          <w:p w14:paraId="0800B290" w14:textId="77777777" w:rsidR="00817793" w:rsidRDefault="002719FC">
            <w:pPr>
              <w:spacing w:before="120" w:after="120" w:line="240" w:lineRule="auto"/>
            </w:pPr>
            <w:r>
              <w:t xml:space="preserve">Revisão sistemática que avalia segurança e eficácia dos agentes biológicos usados ​​no tratamento </w:t>
            </w:r>
            <w:proofErr w:type="gramStart"/>
            <w:r>
              <w:t>do lúpus</w:t>
            </w:r>
            <w:proofErr w:type="gramEnd"/>
            <w:r>
              <w:t xml:space="preserve"> eritematoso sistêmico (LES) em adultos. Os estudos incluídos não atendem ao critério estabelecido na PICO relacionado à inclusão de ensaios clínicos de fase II. </w:t>
            </w:r>
          </w:p>
        </w:tc>
      </w:tr>
      <w:tr w:rsidR="00817793" w14:paraId="4A437648" w14:textId="77777777">
        <w:trPr>
          <w:trHeight w:val="413"/>
          <w:jc w:val="center"/>
        </w:trPr>
        <w:tc>
          <w:tcPr>
            <w:tcW w:w="3225" w:type="dxa"/>
          </w:tcPr>
          <w:p w14:paraId="5747913F" w14:textId="77777777" w:rsidR="00817793" w:rsidRDefault="002719FC">
            <w:pPr>
              <w:spacing w:before="120" w:after="120" w:line="240" w:lineRule="auto"/>
              <w:jc w:val="center"/>
            </w:pPr>
            <w:r>
              <w:t>Liu et al. (2022)</w:t>
            </w:r>
          </w:p>
        </w:tc>
        <w:tc>
          <w:tcPr>
            <w:tcW w:w="5910" w:type="dxa"/>
          </w:tcPr>
          <w:p w14:paraId="3C0A2834" w14:textId="77777777" w:rsidR="00817793" w:rsidRDefault="002719FC">
            <w:pPr>
              <w:spacing w:before="120" w:after="120" w:line="240" w:lineRule="auto"/>
            </w:pPr>
            <w:r>
              <w:t xml:space="preserve">Revisão sistemática que avalia segurança e eficácia dos agentes biológicos usados ​​no tratamento </w:t>
            </w:r>
            <w:proofErr w:type="gramStart"/>
            <w:r>
              <w:t>do lúpus</w:t>
            </w:r>
            <w:proofErr w:type="gramEnd"/>
            <w:r>
              <w:t xml:space="preserve"> eritematoso sistêmico (LES) em adultos. Os estudos incluídos não atendem ao critério estabelecido na PICO relacionado à inclusão de ensaios clínicos de fase II. </w:t>
            </w:r>
          </w:p>
        </w:tc>
      </w:tr>
      <w:tr w:rsidR="00817793" w14:paraId="48F22F7E" w14:textId="77777777">
        <w:trPr>
          <w:trHeight w:val="413"/>
          <w:jc w:val="center"/>
        </w:trPr>
        <w:tc>
          <w:tcPr>
            <w:tcW w:w="3225" w:type="dxa"/>
          </w:tcPr>
          <w:p w14:paraId="2608B14C" w14:textId="77777777" w:rsidR="00817793" w:rsidRDefault="002719FC">
            <w:pPr>
              <w:spacing w:before="120" w:after="120" w:line="240" w:lineRule="auto"/>
              <w:jc w:val="center"/>
            </w:pPr>
            <w:r>
              <w:t>Fatima et al. (2023)</w:t>
            </w:r>
          </w:p>
        </w:tc>
        <w:tc>
          <w:tcPr>
            <w:tcW w:w="5910" w:type="dxa"/>
          </w:tcPr>
          <w:p w14:paraId="21922097" w14:textId="77777777" w:rsidR="00817793" w:rsidRDefault="002719FC">
            <w:pPr>
              <w:spacing w:before="120" w:after="120" w:line="240" w:lineRule="auto"/>
            </w:pPr>
            <w:r>
              <w:t>Carta ao editor</w:t>
            </w:r>
          </w:p>
        </w:tc>
      </w:tr>
    </w:tbl>
    <w:p w14:paraId="5C71F136" w14:textId="77777777" w:rsidR="00817793" w:rsidRDefault="00817793">
      <w:pPr>
        <w:spacing w:before="120" w:after="120" w:line="240" w:lineRule="auto"/>
        <w:jc w:val="center"/>
        <w:rPr>
          <w:i/>
          <w:color w:val="FF0000"/>
        </w:rPr>
      </w:pPr>
    </w:p>
    <w:p w14:paraId="62199465" w14:textId="77777777" w:rsidR="00817793" w:rsidRDefault="00817793">
      <w:pPr>
        <w:rPr>
          <w:smallCaps/>
          <w:highlight w:val="cyan"/>
        </w:rPr>
      </w:pPr>
    </w:p>
    <w:tbl>
      <w:tblPr>
        <w:tblStyle w:val="af0"/>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7492A4AF" w14:textId="77777777">
        <w:trPr>
          <w:trHeight w:val="416"/>
        </w:trPr>
        <w:tc>
          <w:tcPr>
            <w:tcW w:w="9072" w:type="dxa"/>
            <w:shd w:val="clear" w:color="auto" w:fill="D9E2F3"/>
            <w:vAlign w:val="center"/>
          </w:tcPr>
          <w:p w14:paraId="3CEF4800" w14:textId="77777777" w:rsidR="00817793" w:rsidRDefault="002719FC">
            <w:pPr>
              <w:spacing w:before="120" w:after="120" w:line="240" w:lineRule="auto"/>
              <w:jc w:val="center"/>
              <w:rPr>
                <w:b/>
              </w:rPr>
            </w:pPr>
            <w:r>
              <w:rPr>
                <w:b/>
              </w:rPr>
              <w:t>Comentários gerais sobre a lista de estudos excluídos e razões para exclusão</w:t>
            </w:r>
          </w:p>
        </w:tc>
      </w:tr>
      <w:tr w:rsidR="00817793" w14:paraId="7AE91DFF" w14:textId="77777777">
        <w:trPr>
          <w:trHeight w:val="750"/>
        </w:trPr>
        <w:tc>
          <w:tcPr>
            <w:tcW w:w="9072" w:type="dxa"/>
            <w:vAlign w:val="center"/>
          </w:tcPr>
          <w:p w14:paraId="3A8973AD" w14:textId="77777777" w:rsidR="00817793" w:rsidRDefault="002719FC">
            <w:pPr>
              <w:spacing w:before="120" w:after="120" w:line="240" w:lineRule="auto"/>
            </w:pPr>
            <w:r>
              <w:t xml:space="preserve">O proponente excluiu estudos que apresentavam desenhos metodológicos inadequados, resumos de congressos, artigos sem publicação completa e aqueles que abordavam intervenções distintas. </w:t>
            </w:r>
          </w:p>
          <w:p w14:paraId="17AC99AA" w14:textId="77777777" w:rsidR="00817793" w:rsidRDefault="002719FC">
            <w:pPr>
              <w:spacing w:before="120" w:after="120" w:line="240" w:lineRule="auto"/>
            </w:pPr>
            <w:r>
              <w:t>Por sua vez, os pareceristas eliminaram os estudos que incluíam comparadores inadequados (como comparações com outros imunobiológicos) e aqueles que não atendiam aos critérios de tipo de publicação, como revisões sistemáticas que incorporaram ensaios clínicos de fase II e cartas ao editor.</w:t>
            </w:r>
          </w:p>
        </w:tc>
      </w:tr>
    </w:tbl>
    <w:p w14:paraId="0DA123B1" w14:textId="77777777" w:rsidR="00817793" w:rsidRDefault="00817793">
      <w:pPr>
        <w:rPr>
          <w:smallCaps/>
          <w:highlight w:val="cyan"/>
        </w:rPr>
      </w:pPr>
    </w:p>
    <w:p w14:paraId="4F6B2462" w14:textId="77777777" w:rsidR="00817793" w:rsidRDefault="002719FC">
      <w:pPr>
        <w:pStyle w:val="Ttulo4"/>
        <w:spacing w:before="0" w:after="0"/>
      </w:pPr>
      <w:bookmarkStart w:id="29" w:name="_t13nsp73yhtt" w:colFirst="0" w:colLast="0"/>
      <w:bookmarkEnd w:id="29"/>
      <w:r>
        <w:rPr>
          <w:b/>
        </w:rPr>
        <w:t>Quadro 10.</w:t>
      </w:r>
      <w:r>
        <w:t xml:space="preserve"> Estudos em andamento (versão do PROPONENTE e do PARECERISTA)</w:t>
      </w:r>
    </w:p>
    <w:tbl>
      <w:tblPr>
        <w:tblStyle w:val="af1"/>
        <w:tblW w:w="914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6"/>
        <w:gridCol w:w="142"/>
        <w:gridCol w:w="5244"/>
      </w:tblGrid>
      <w:tr w:rsidR="00817793" w14:paraId="2C72C2AD" w14:textId="77777777">
        <w:trPr>
          <w:trHeight w:val="562"/>
          <w:jc w:val="center"/>
        </w:trPr>
        <w:tc>
          <w:tcPr>
            <w:tcW w:w="9142" w:type="dxa"/>
            <w:gridSpan w:val="3"/>
            <w:shd w:val="clear" w:color="auto" w:fill="D9E2F3"/>
          </w:tcPr>
          <w:p w14:paraId="5F4425D2" w14:textId="77777777" w:rsidR="00817793" w:rsidRDefault="002719FC">
            <w:pPr>
              <w:spacing w:before="120" w:after="120" w:line="240" w:lineRule="auto"/>
              <w:jc w:val="center"/>
              <w:rPr>
                <w:b/>
              </w:rPr>
            </w:pPr>
            <w:r>
              <w:rPr>
                <w:b/>
              </w:rPr>
              <w:t>PROPONENTE</w:t>
            </w:r>
          </w:p>
        </w:tc>
      </w:tr>
      <w:tr w:rsidR="00817793" w14:paraId="662784F9" w14:textId="77777777">
        <w:trPr>
          <w:trHeight w:val="415"/>
          <w:jc w:val="center"/>
        </w:trPr>
        <w:tc>
          <w:tcPr>
            <w:tcW w:w="3898" w:type="dxa"/>
            <w:gridSpan w:val="2"/>
          </w:tcPr>
          <w:p w14:paraId="539EFA42" w14:textId="77777777" w:rsidR="00817793" w:rsidRDefault="002719FC">
            <w:pPr>
              <w:spacing w:before="120" w:after="120" w:line="240" w:lineRule="auto"/>
              <w:jc w:val="center"/>
              <w:rPr>
                <w:b/>
              </w:rPr>
            </w:pPr>
            <w:r>
              <w:rPr>
                <w:b/>
              </w:rPr>
              <w:t>Estudo</w:t>
            </w:r>
          </w:p>
        </w:tc>
        <w:tc>
          <w:tcPr>
            <w:tcW w:w="5244" w:type="dxa"/>
          </w:tcPr>
          <w:p w14:paraId="684E07DA" w14:textId="77777777" w:rsidR="00817793" w:rsidRDefault="002719FC">
            <w:pPr>
              <w:spacing w:before="120" w:after="120" w:line="240" w:lineRule="auto"/>
              <w:jc w:val="center"/>
              <w:rPr>
                <w:b/>
              </w:rPr>
            </w:pPr>
            <w:r>
              <w:rPr>
                <w:b/>
              </w:rPr>
              <w:t>PICO</w:t>
            </w:r>
          </w:p>
        </w:tc>
      </w:tr>
      <w:tr w:rsidR="00817793" w14:paraId="08A29590" w14:textId="77777777">
        <w:trPr>
          <w:trHeight w:val="421"/>
          <w:jc w:val="center"/>
        </w:trPr>
        <w:tc>
          <w:tcPr>
            <w:tcW w:w="9142" w:type="dxa"/>
            <w:gridSpan w:val="3"/>
          </w:tcPr>
          <w:p w14:paraId="1883D6D1" w14:textId="77777777" w:rsidR="00817793" w:rsidRDefault="002719FC">
            <w:pPr>
              <w:spacing w:before="120" w:after="120" w:line="240" w:lineRule="auto"/>
              <w:jc w:val="center"/>
            </w:pPr>
            <w:r>
              <w:t>Não apresentado pelo PROPONENTE</w:t>
            </w:r>
          </w:p>
        </w:tc>
      </w:tr>
      <w:tr w:rsidR="00817793" w14:paraId="1689C135" w14:textId="77777777">
        <w:trPr>
          <w:trHeight w:val="478"/>
          <w:jc w:val="center"/>
        </w:trPr>
        <w:tc>
          <w:tcPr>
            <w:tcW w:w="9142" w:type="dxa"/>
            <w:gridSpan w:val="3"/>
            <w:shd w:val="clear" w:color="auto" w:fill="D9E2F3"/>
          </w:tcPr>
          <w:p w14:paraId="7EF28A8C" w14:textId="77777777" w:rsidR="00817793" w:rsidRDefault="002719FC">
            <w:pPr>
              <w:spacing w:before="120" w:after="120" w:line="240" w:lineRule="auto"/>
              <w:jc w:val="center"/>
              <w:rPr>
                <w:b/>
              </w:rPr>
            </w:pPr>
            <w:r>
              <w:rPr>
                <w:b/>
              </w:rPr>
              <w:lastRenderedPageBreak/>
              <w:t>PARECERISTA</w:t>
            </w:r>
          </w:p>
        </w:tc>
      </w:tr>
      <w:tr w:rsidR="00817793" w14:paraId="57803A69" w14:textId="77777777">
        <w:trPr>
          <w:trHeight w:val="414"/>
          <w:jc w:val="center"/>
        </w:trPr>
        <w:tc>
          <w:tcPr>
            <w:tcW w:w="3756" w:type="dxa"/>
          </w:tcPr>
          <w:p w14:paraId="29F8B0C8" w14:textId="77777777" w:rsidR="00817793" w:rsidRDefault="002719FC">
            <w:pPr>
              <w:spacing w:before="120" w:after="120" w:line="240" w:lineRule="auto"/>
              <w:jc w:val="center"/>
              <w:rPr>
                <w:b/>
              </w:rPr>
            </w:pPr>
            <w:r>
              <w:rPr>
                <w:b/>
              </w:rPr>
              <w:t>Estudo</w:t>
            </w:r>
          </w:p>
        </w:tc>
        <w:tc>
          <w:tcPr>
            <w:tcW w:w="5386" w:type="dxa"/>
            <w:gridSpan w:val="2"/>
          </w:tcPr>
          <w:p w14:paraId="0D8DC62D" w14:textId="77777777" w:rsidR="00817793" w:rsidRDefault="002719FC">
            <w:pPr>
              <w:spacing w:before="120" w:after="120" w:line="240" w:lineRule="auto"/>
              <w:jc w:val="center"/>
              <w:rPr>
                <w:b/>
              </w:rPr>
            </w:pPr>
            <w:r>
              <w:rPr>
                <w:b/>
              </w:rPr>
              <w:t>PICO</w:t>
            </w:r>
          </w:p>
        </w:tc>
      </w:tr>
      <w:tr w:rsidR="00817793" w14:paraId="5367A9BD" w14:textId="77777777">
        <w:trPr>
          <w:trHeight w:val="408"/>
          <w:jc w:val="center"/>
        </w:trPr>
        <w:tc>
          <w:tcPr>
            <w:tcW w:w="3756" w:type="dxa"/>
          </w:tcPr>
          <w:p w14:paraId="7FCE12E7" w14:textId="77777777" w:rsidR="00817793" w:rsidRDefault="002719FC">
            <w:pPr>
              <w:spacing w:before="120" w:after="120" w:line="240" w:lineRule="auto"/>
              <w:jc w:val="center"/>
            </w:pPr>
            <w:r>
              <w:t xml:space="preserve">NCT05835310 - </w:t>
            </w:r>
            <w:proofErr w:type="spellStart"/>
            <w:r>
              <w:t>An</w:t>
            </w:r>
            <w:proofErr w:type="spellEnd"/>
            <w:r>
              <w:t xml:space="preserve">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Study</w:t>
            </w:r>
            <w:proofErr w:type="spellEnd"/>
            <w:r>
              <w:t xml:space="preserve"> </w:t>
            </w:r>
            <w:proofErr w:type="spellStart"/>
            <w:r>
              <w:t>of</w:t>
            </w:r>
            <w:proofErr w:type="spellEnd"/>
            <w:r>
              <w:t xml:space="preserve"> </w:t>
            </w:r>
            <w:proofErr w:type="spellStart"/>
            <w:r>
              <w:t>Intravenous</w:t>
            </w:r>
            <w:proofErr w:type="spellEnd"/>
            <w:r>
              <w:t xml:space="preserve"> </w:t>
            </w:r>
            <w:proofErr w:type="spellStart"/>
            <w:r>
              <w:t>Anifrolumab</w:t>
            </w:r>
            <w:proofErr w:type="spellEnd"/>
            <w:r>
              <w:t xml:space="preserve"> </w:t>
            </w:r>
            <w:proofErr w:type="spellStart"/>
            <w:r>
              <w:t>to</w:t>
            </w:r>
            <w:proofErr w:type="spellEnd"/>
            <w:r>
              <w:t xml:space="preserve"> </w:t>
            </w:r>
            <w:proofErr w:type="spellStart"/>
            <w:r>
              <w:t>Treat</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in </w:t>
            </w:r>
            <w:proofErr w:type="spellStart"/>
            <w:r>
              <w:t>Pediatric</w:t>
            </w:r>
            <w:proofErr w:type="spellEnd"/>
            <w:r>
              <w:t xml:space="preserve"> </w:t>
            </w:r>
            <w:proofErr w:type="spellStart"/>
            <w:r>
              <w:t>Participants</w:t>
            </w:r>
            <w:proofErr w:type="spellEnd"/>
            <w:r>
              <w:t xml:space="preserve"> (BLOSSOM)</w:t>
            </w:r>
          </w:p>
        </w:tc>
        <w:tc>
          <w:tcPr>
            <w:tcW w:w="5386" w:type="dxa"/>
            <w:gridSpan w:val="2"/>
          </w:tcPr>
          <w:p w14:paraId="0F518945" w14:textId="77777777" w:rsidR="00817793" w:rsidRDefault="002719FC">
            <w:pPr>
              <w:spacing w:before="120" w:after="120" w:line="240" w:lineRule="auto"/>
              <w:jc w:val="left"/>
            </w:pPr>
            <w:r>
              <w:rPr>
                <w:b/>
              </w:rPr>
              <w:t>P:</w:t>
            </w:r>
            <w:r>
              <w:t>População pediátrica com LES</w:t>
            </w:r>
          </w:p>
          <w:p w14:paraId="139F437D" w14:textId="77777777" w:rsidR="00817793" w:rsidRDefault="002719FC">
            <w:pPr>
              <w:spacing w:before="120" w:after="120" w:line="240" w:lineRule="auto"/>
              <w:jc w:val="left"/>
            </w:pPr>
            <w:r>
              <w:rPr>
                <w:b/>
              </w:rPr>
              <w:t>I:</w:t>
            </w:r>
            <w:r>
              <w:t xml:space="preserve"> </w:t>
            </w:r>
            <w:proofErr w:type="spellStart"/>
            <w:r>
              <w:t>Anifrolumabe</w:t>
            </w:r>
            <w:proofErr w:type="spellEnd"/>
            <w:r>
              <w:t xml:space="preserve"> </w:t>
            </w:r>
          </w:p>
          <w:p w14:paraId="5D33CA0C" w14:textId="77777777" w:rsidR="00817793" w:rsidRDefault="002719FC">
            <w:pPr>
              <w:spacing w:before="120" w:after="120" w:line="240" w:lineRule="auto"/>
              <w:jc w:val="left"/>
            </w:pPr>
            <w:r>
              <w:rPr>
                <w:b/>
              </w:rPr>
              <w:t>C:</w:t>
            </w:r>
            <w:r>
              <w:t xml:space="preserve"> Placebo</w:t>
            </w:r>
          </w:p>
          <w:p w14:paraId="2F231E3A" w14:textId="77777777" w:rsidR="00817793" w:rsidRDefault="002719FC" w:rsidP="00326C00">
            <w:pPr>
              <w:spacing w:before="120" w:after="120" w:line="240" w:lineRule="auto"/>
            </w:pPr>
            <w:r>
              <w:rPr>
                <w:b/>
              </w:rPr>
              <w:t>Desfechos primários:</w:t>
            </w:r>
            <w:r>
              <w:t xml:space="preserve"> Concentração sérica máxima observada (pico) do fármaco (</w:t>
            </w:r>
            <w:proofErr w:type="spellStart"/>
            <w:r>
              <w:t>Cmax</w:t>
            </w:r>
            <w:proofErr w:type="spellEnd"/>
            <w:r>
              <w:t>), Área sob a curva de concentração sérica (AUC), Concentração sérica mínima observada (</w:t>
            </w:r>
            <w:proofErr w:type="spellStart"/>
            <w:r>
              <w:t>Cmin</w:t>
            </w:r>
            <w:proofErr w:type="spellEnd"/>
            <w:r>
              <w:t>), Concentração sérica máxima observada (pico) no estado estacionário (</w:t>
            </w:r>
            <w:proofErr w:type="spellStart"/>
            <w:r>
              <w:t>Css</w:t>
            </w:r>
            <w:proofErr w:type="spellEnd"/>
            <w:r>
              <w:t>, máx.),Área sob a curva de concentração sérica-tempo no estado estacionário (</w:t>
            </w:r>
            <w:proofErr w:type="spellStart"/>
            <w:r>
              <w:t>AUCss</w:t>
            </w:r>
            <w:proofErr w:type="spellEnd"/>
            <w:r>
              <w:t>),Concentração sérica média no estado estacionário (</w:t>
            </w:r>
            <w:proofErr w:type="spellStart"/>
            <w:r>
              <w:t>Css</w:t>
            </w:r>
            <w:proofErr w:type="spellEnd"/>
            <w:r>
              <w:t xml:space="preserve">, </w:t>
            </w:r>
            <w:proofErr w:type="spellStart"/>
            <w:r>
              <w:t>avg</w:t>
            </w:r>
            <w:proofErr w:type="spellEnd"/>
            <w:r>
              <w:t xml:space="preserve">),Número de participantes que são respondedores do British </w:t>
            </w:r>
            <w:proofErr w:type="spellStart"/>
            <w:r>
              <w:t>Isles</w:t>
            </w:r>
            <w:proofErr w:type="spellEnd"/>
            <w:r>
              <w:t xml:space="preserve"> </w:t>
            </w:r>
            <w:proofErr w:type="spellStart"/>
            <w:r>
              <w:t>Lupus</w:t>
            </w:r>
            <w:proofErr w:type="spellEnd"/>
            <w:r>
              <w:t xml:space="preserve"> Assessment </w:t>
            </w:r>
            <w:proofErr w:type="spellStart"/>
            <w:r>
              <w:t>Group-based</w:t>
            </w:r>
            <w:proofErr w:type="spellEnd"/>
            <w:r>
              <w:t xml:space="preserve"> </w:t>
            </w:r>
            <w:proofErr w:type="spellStart"/>
            <w:r>
              <w:t>Composite</w:t>
            </w:r>
            <w:proofErr w:type="spellEnd"/>
            <w:r>
              <w:t xml:space="preserve"> </w:t>
            </w:r>
            <w:proofErr w:type="spellStart"/>
            <w:r>
              <w:t>Lupus</w:t>
            </w:r>
            <w:proofErr w:type="spellEnd"/>
            <w:r>
              <w:t xml:space="preserve"> Assessment (BICLA) (sim/não).</w:t>
            </w:r>
          </w:p>
          <w:p w14:paraId="6B316FF6" w14:textId="77777777" w:rsidR="00817793" w:rsidRDefault="002719FC" w:rsidP="00326C00">
            <w:pPr>
              <w:spacing w:before="120" w:after="120" w:line="240" w:lineRule="auto"/>
            </w:pPr>
            <w:r>
              <w:rPr>
                <w:b/>
              </w:rPr>
              <w:t xml:space="preserve">Desfechos secundários: </w:t>
            </w:r>
            <w:r>
              <w:t xml:space="preserve">Número de participantes que são respondedores do Índice de Resposta ao Lúpus Eritematoso Sistêmico de ≥ 4 SRI(4) (sim/não), Tempo até o primeiro surto em participantes pediátricos com LES ativo moderado a  grave, Alteração da linha de base até a semana 52 na concentração sérica de </w:t>
            </w:r>
            <w:proofErr w:type="spellStart"/>
            <w:r>
              <w:t>anifrolumabe,Mudança</w:t>
            </w:r>
            <w:proofErr w:type="spellEnd"/>
            <w:r>
              <w:t xml:space="preserve"> da linha de base até a semana 52 no anticorpo antidrogas (ADA),Mudança da linha de base até a semana 52 em anticorpos </w:t>
            </w:r>
            <w:proofErr w:type="spellStart"/>
            <w:r>
              <w:t>anti-dsDNA,Mudança</w:t>
            </w:r>
            <w:proofErr w:type="spellEnd"/>
            <w:r>
              <w:t xml:space="preserve"> da linha de base até a semana 52 nos componentes do complemento e CH50,Número de participantes que responderam ao lúpus eritematoso sistêmico de início na infância (</w:t>
            </w:r>
            <w:proofErr w:type="spellStart"/>
            <w:r>
              <w:t>LESc</w:t>
            </w:r>
            <w:proofErr w:type="spellEnd"/>
            <w:r>
              <w:t xml:space="preserve">) pela </w:t>
            </w:r>
            <w:proofErr w:type="spellStart"/>
            <w:r>
              <w:t>Pediatric</w:t>
            </w:r>
            <w:proofErr w:type="spellEnd"/>
            <w:r>
              <w:t xml:space="preserve"> </w:t>
            </w:r>
            <w:proofErr w:type="spellStart"/>
            <w:r>
              <w:t>Rheumatology</w:t>
            </w:r>
            <w:proofErr w:type="spellEnd"/>
            <w:r>
              <w:t xml:space="preserve"> </w:t>
            </w:r>
            <w:proofErr w:type="spellStart"/>
            <w:r>
              <w:t>International</w:t>
            </w:r>
            <w:proofErr w:type="spellEnd"/>
            <w:r>
              <w:t xml:space="preserve"> </w:t>
            </w:r>
            <w:proofErr w:type="spellStart"/>
            <w:r>
              <w:t>Trials</w:t>
            </w:r>
            <w:proofErr w:type="spellEnd"/>
            <w:r>
              <w:t xml:space="preserve"> </w:t>
            </w:r>
            <w:proofErr w:type="spellStart"/>
            <w:r>
              <w:t>Organization</w:t>
            </w:r>
            <w:proofErr w:type="spellEnd"/>
            <w:r>
              <w:t xml:space="preserve">/American </w:t>
            </w:r>
            <w:proofErr w:type="spellStart"/>
            <w:r>
              <w:t>College</w:t>
            </w:r>
            <w:proofErr w:type="spellEnd"/>
            <w:r>
              <w:t xml:space="preserve"> </w:t>
            </w:r>
            <w:proofErr w:type="spellStart"/>
            <w:r>
              <w:t>of</w:t>
            </w:r>
            <w:proofErr w:type="spellEnd"/>
            <w:r>
              <w:t xml:space="preserve"> </w:t>
            </w:r>
            <w:proofErr w:type="spellStart"/>
            <w:r>
              <w:t>Rheumatology</w:t>
            </w:r>
            <w:proofErr w:type="spellEnd"/>
            <w:r>
              <w:t xml:space="preserve"> (PRINTO/ACR) (sim/não),A redução percentual média da linha de base até a semana 52 na dose de base de corticosteroides orais (COE),Mudança da linha de base até a semana 52 na assinatura do gene 21 do interferon tipo I (IFN).</w:t>
            </w:r>
          </w:p>
          <w:p w14:paraId="4E05F0A6" w14:textId="77777777" w:rsidR="00817793" w:rsidRDefault="002719FC" w:rsidP="00326C00">
            <w:pPr>
              <w:spacing w:before="120" w:after="120" w:line="240" w:lineRule="auto"/>
            </w:pPr>
            <w:r>
              <w:rPr>
                <w:b/>
              </w:rPr>
              <w:t xml:space="preserve">Outras medidas de resultados: </w:t>
            </w:r>
            <w:r>
              <w:t>Número de participantes que relataram ideação suicida e/ou comportamento suicida de acordo com a Escala de Classificação de Gravidade do Suicídio de Columbia (C-SSRS), Número de participantes com eventos adversos.</w:t>
            </w:r>
          </w:p>
          <w:p w14:paraId="3D487A49" w14:textId="77777777" w:rsidR="00817793" w:rsidRDefault="002719FC">
            <w:pPr>
              <w:spacing w:before="120" w:after="120" w:line="240" w:lineRule="auto"/>
              <w:jc w:val="left"/>
              <w:rPr>
                <w:b/>
              </w:rPr>
            </w:pPr>
            <w:r>
              <w:rPr>
                <w:b/>
              </w:rPr>
              <w:t>ECR fase III, em recrutamento, sem resultados publicados</w:t>
            </w:r>
          </w:p>
        </w:tc>
      </w:tr>
      <w:tr w:rsidR="00817793" w14:paraId="74B4FEE8" w14:textId="77777777">
        <w:trPr>
          <w:trHeight w:val="413"/>
          <w:jc w:val="center"/>
        </w:trPr>
        <w:tc>
          <w:tcPr>
            <w:tcW w:w="3756" w:type="dxa"/>
          </w:tcPr>
          <w:p w14:paraId="2936312D" w14:textId="77777777" w:rsidR="00817793" w:rsidRDefault="002719FC">
            <w:pPr>
              <w:spacing w:before="120" w:after="120" w:line="240" w:lineRule="auto"/>
              <w:jc w:val="center"/>
            </w:pPr>
            <w:r>
              <w:lastRenderedPageBreak/>
              <w:t xml:space="preserve">NCT04931563 - </w:t>
            </w:r>
            <w:proofErr w:type="spellStart"/>
            <w:r>
              <w:t>Anifrolumab</w:t>
            </w:r>
            <w:proofErr w:type="spellEnd"/>
            <w:r>
              <w:t xml:space="preserve"> </w:t>
            </w:r>
            <w:proofErr w:type="spellStart"/>
            <w:r>
              <w:t>Asian</w:t>
            </w:r>
            <w:proofErr w:type="spellEnd"/>
            <w:r>
              <w:t xml:space="preserve"> </w:t>
            </w:r>
            <w:proofErr w:type="spellStart"/>
            <w:r>
              <w:t>PhIII</w:t>
            </w:r>
            <w:proofErr w:type="spellEnd"/>
            <w:r>
              <w:t xml:space="preserve"> </w:t>
            </w:r>
            <w:proofErr w:type="spellStart"/>
            <w:r>
              <w:t>Efficacy</w:t>
            </w:r>
            <w:proofErr w:type="spellEnd"/>
            <w:r>
              <w:t xml:space="preserve"> </w:t>
            </w:r>
            <w:proofErr w:type="spellStart"/>
            <w:r>
              <w:t>Study</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(SLE)</w:t>
            </w:r>
          </w:p>
        </w:tc>
        <w:tc>
          <w:tcPr>
            <w:tcW w:w="5386" w:type="dxa"/>
            <w:gridSpan w:val="2"/>
          </w:tcPr>
          <w:p w14:paraId="554A63BD" w14:textId="77777777" w:rsidR="00817793" w:rsidRDefault="002719FC">
            <w:pPr>
              <w:spacing w:before="120" w:after="120" w:line="240" w:lineRule="auto"/>
            </w:pPr>
            <w:r>
              <w:rPr>
                <w:b/>
              </w:rPr>
              <w:t xml:space="preserve">População: </w:t>
            </w:r>
            <w:r>
              <w:t>Pacientes</w:t>
            </w:r>
            <w:r>
              <w:rPr>
                <w:b/>
              </w:rPr>
              <w:t xml:space="preserve"> </w:t>
            </w:r>
            <w:r>
              <w:t>asiáticos com lúpus eritematoso sistêmico (LES) ativo;</w:t>
            </w:r>
          </w:p>
          <w:p w14:paraId="57C4D90E" w14:textId="77777777" w:rsidR="00817793" w:rsidRDefault="002719FC">
            <w:pPr>
              <w:spacing w:before="120" w:after="120" w:line="240" w:lineRule="auto"/>
            </w:pPr>
            <w:r>
              <w:rPr>
                <w:b/>
              </w:rPr>
              <w:t xml:space="preserve">Intervenção: </w:t>
            </w:r>
            <w:proofErr w:type="spellStart"/>
            <w:r>
              <w:t>Anifrolumabe</w:t>
            </w:r>
            <w:proofErr w:type="spellEnd"/>
          </w:p>
          <w:p w14:paraId="52D5A82F" w14:textId="77777777" w:rsidR="00817793" w:rsidRDefault="002719FC">
            <w:pPr>
              <w:spacing w:before="120" w:after="120" w:line="240" w:lineRule="auto"/>
            </w:pPr>
            <w:r>
              <w:rPr>
                <w:b/>
              </w:rPr>
              <w:t xml:space="preserve">Comparador: </w:t>
            </w:r>
            <w:r>
              <w:t>Placebo</w:t>
            </w:r>
          </w:p>
          <w:p w14:paraId="5EBE190A" w14:textId="77777777" w:rsidR="00817793" w:rsidRDefault="002719FC">
            <w:pPr>
              <w:spacing w:before="120" w:after="120" w:line="240" w:lineRule="auto"/>
            </w:pPr>
            <w:r>
              <w:rPr>
                <w:b/>
              </w:rPr>
              <w:t xml:space="preserve">Desfechos primários: </w:t>
            </w:r>
            <w:r>
              <w:t xml:space="preserve">Diferença na proporção de participantes que respondem ao </w:t>
            </w:r>
            <w:proofErr w:type="spellStart"/>
            <w:r>
              <w:t>anifrolumabe</w:t>
            </w:r>
            <w:proofErr w:type="spellEnd"/>
            <w:r>
              <w:t xml:space="preserve"> e ao placebo</w:t>
            </w:r>
          </w:p>
          <w:p w14:paraId="4D12A52A" w14:textId="77777777" w:rsidR="00817793" w:rsidRDefault="002719FC">
            <w:pPr>
              <w:spacing w:before="120" w:after="120" w:line="240" w:lineRule="auto"/>
            </w:pPr>
            <w:r>
              <w:rPr>
                <w:b/>
              </w:rPr>
              <w:t xml:space="preserve">Desfechos secundários: </w:t>
            </w:r>
            <w:r>
              <w:t xml:space="preserve">A proporção de participantes que atingiram a resposta </w:t>
            </w:r>
            <w:proofErr w:type="gramStart"/>
            <w:r>
              <w:t>SRI(</w:t>
            </w:r>
            <w:proofErr w:type="gramEnd"/>
            <w:r>
              <w:t xml:space="preserve">4) na semana 52, A proporção de participantes que atingem uma dose de corticosteroide oral (COO) ≤7,5 mg/dia na Semana 40, que é mantida até a Semana 52 no subgrupo daqueles com COO basal ≥10 mg/dia, Taxa de </w:t>
            </w:r>
            <w:proofErr w:type="spellStart"/>
            <w:r w:rsidRPr="00326C00">
              <w:rPr>
                <w:i/>
                <w:iCs/>
              </w:rPr>
              <w:t>flare</w:t>
            </w:r>
            <w:proofErr w:type="spellEnd"/>
            <w:r>
              <w:t xml:space="preserve"> anualizada.</w:t>
            </w:r>
          </w:p>
          <w:p w14:paraId="02EFAB7E" w14:textId="77777777" w:rsidR="00817793" w:rsidRDefault="002719FC">
            <w:pPr>
              <w:spacing w:before="120" w:after="120" w:line="240" w:lineRule="auto"/>
              <w:rPr>
                <w:b/>
              </w:rPr>
            </w:pPr>
            <w:r>
              <w:rPr>
                <w:b/>
              </w:rPr>
              <w:t>ECR fase III, ativo e não recrutando, sem resultados publicados</w:t>
            </w:r>
          </w:p>
        </w:tc>
      </w:tr>
      <w:tr w:rsidR="00817793" w14:paraId="2CD635CC" w14:textId="77777777">
        <w:trPr>
          <w:trHeight w:val="413"/>
          <w:jc w:val="center"/>
        </w:trPr>
        <w:tc>
          <w:tcPr>
            <w:tcW w:w="3756" w:type="dxa"/>
          </w:tcPr>
          <w:p w14:paraId="5FAE88B7" w14:textId="77777777" w:rsidR="00817793" w:rsidRDefault="002719FC">
            <w:pPr>
              <w:spacing w:before="120" w:after="120" w:line="240" w:lineRule="auto"/>
              <w:jc w:val="center"/>
            </w:pPr>
            <w:r>
              <w:t xml:space="preserve">NCT02794285 - </w:t>
            </w:r>
            <w:proofErr w:type="spellStart"/>
            <w:r>
              <w:t>Long</w:t>
            </w:r>
            <w:proofErr w:type="spellEnd"/>
            <w:r>
              <w:t xml:space="preserve"> </w:t>
            </w:r>
            <w:proofErr w:type="spellStart"/>
            <w:r>
              <w:t>Term</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Adult</w:t>
            </w:r>
            <w:proofErr w:type="spellEnd"/>
            <w:r>
              <w:t xml:space="preserve"> </w:t>
            </w:r>
            <w:proofErr w:type="spellStart"/>
            <w:r>
              <w:t>Subjects</w:t>
            </w:r>
            <w:proofErr w:type="spellEnd"/>
            <w:r>
              <w:t xml:space="preserve"> </w:t>
            </w:r>
            <w:proofErr w:type="spellStart"/>
            <w:r>
              <w:t>With</w:t>
            </w:r>
            <w:proofErr w:type="spellEnd"/>
            <w:r>
              <w:t xml:space="preserve"> Active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(TULIP SLE LTE)</w:t>
            </w:r>
          </w:p>
        </w:tc>
        <w:tc>
          <w:tcPr>
            <w:tcW w:w="5386" w:type="dxa"/>
            <w:gridSpan w:val="2"/>
          </w:tcPr>
          <w:p w14:paraId="42BF3650" w14:textId="77777777" w:rsidR="00817793" w:rsidRDefault="002719FC">
            <w:pPr>
              <w:spacing w:before="120" w:after="120" w:line="240" w:lineRule="auto"/>
            </w:pPr>
            <w:r>
              <w:rPr>
                <w:b/>
              </w:rPr>
              <w:t xml:space="preserve">População: </w:t>
            </w:r>
            <w:r>
              <w:t>Pacientes</w:t>
            </w:r>
            <w:r>
              <w:rPr>
                <w:b/>
              </w:rPr>
              <w:t xml:space="preserve"> </w:t>
            </w:r>
            <w:r>
              <w:t>com lúpus eritematoso sistêmico (LES) ativo;</w:t>
            </w:r>
          </w:p>
          <w:p w14:paraId="4F5F225B" w14:textId="77777777" w:rsidR="00817793" w:rsidRDefault="002719FC">
            <w:pPr>
              <w:spacing w:before="120" w:after="120" w:line="240" w:lineRule="auto"/>
            </w:pPr>
            <w:r>
              <w:rPr>
                <w:b/>
              </w:rPr>
              <w:t xml:space="preserve">Intervenção: </w:t>
            </w:r>
            <w:proofErr w:type="spellStart"/>
            <w:r>
              <w:t>Anifrolumabe</w:t>
            </w:r>
            <w:proofErr w:type="spellEnd"/>
          </w:p>
          <w:p w14:paraId="76B0BE18" w14:textId="77777777" w:rsidR="00817793" w:rsidRDefault="002719FC">
            <w:pPr>
              <w:spacing w:before="120" w:after="120" w:line="240" w:lineRule="auto"/>
            </w:pPr>
            <w:r>
              <w:rPr>
                <w:b/>
              </w:rPr>
              <w:t xml:space="preserve">Comparador: </w:t>
            </w:r>
            <w:r>
              <w:t>Placebo</w:t>
            </w:r>
          </w:p>
          <w:p w14:paraId="1AA988EE" w14:textId="77777777" w:rsidR="00817793" w:rsidRDefault="002719FC">
            <w:pPr>
              <w:spacing w:before="120" w:after="120" w:line="240" w:lineRule="auto"/>
            </w:pPr>
            <w:r>
              <w:rPr>
                <w:b/>
              </w:rPr>
              <w:t xml:space="preserve">Desfechos primários: </w:t>
            </w:r>
            <w:r>
              <w:t>Taxas de incidência ajustadas à exposição (</w:t>
            </w:r>
            <w:proofErr w:type="spellStart"/>
            <w:r>
              <w:t>EAIRs</w:t>
            </w:r>
            <w:proofErr w:type="spellEnd"/>
            <w:r>
              <w:t>) de eventos adversos de interesse especial (</w:t>
            </w:r>
            <w:proofErr w:type="spellStart"/>
            <w:r>
              <w:t>AESIs</w:t>
            </w:r>
            <w:proofErr w:type="spellEnd"/>
            <w:r>
              <w:t xml:space="preserve">), </w:t>
            </w:r>
            <w:proofErr w:type="spellStart"/>
            <w:r>
              <w:t>EAIRs</w:t>
            </w:r>
            <w:proofErr w:type="spellEnd"/>
            <w:r>
              <w:t xml:space="preserve"> de Eventos Adversos Graves (EAS)</w:t>
            </w:r>
          </w:p>
          <w:p w14:paraId="49168899" w14:textId="77777777" w:rsidR="00817793" w:rsidRDefault="002719FC">
            <w:pPr>
              <w:spacing w:before="120" w:after="120" w:line="240" w:lineRule="auto"/>
            </w:pPr>
            <w:r>
              <w:rPr>
                <w:b/>
              </w:rPr>
              <w:t xml:space="preserve">ECR fase III, concluído, com resultados publicados, incluído na análise através do estudo </w:t>
            </w:r>
            <w:proofErr w:type="spellStart"/>
            <w:r>
              <w:rPr>
                <w:b/>
              </w:rPr>
              <w:t>Kalunian</w:t>
            </w:r>
            <w:proofErr w:type="spellEnd"/>
            <w:r>
              <w:rPr>
                <w:b/>
              </w:rPr>
              <w:t xml:space="preserve"> et al. (2023).</w:t>
            </w:r>
          </w:p>
        </w:tc>
      </w:tr>
      <w:tr w:rsidR="00817793" w14:paraId="33C541BE" w14:textId="77777777">
        <w:trPr>
          <w:trHeight w:val="413"/>
          <w:jc w:val="center"/>
        </w:trPr>
        <w:tc>
          <w:tcPr>
            <w:tcW w:w="3756" w:type="dxa"/>
          </w:tcPr>
          <w:p w14:paraId="428F0882" w14:textId="77777777" w:rsidR="00817793" w:rsidRDefault="002719FC">
            <w:pPr>
              <w:spacing w:before="120" w:after="120" w:line="240" w:lineRule="auto"/>
              <w:jc w:val="center"/>
            </w:pPr>
            <w:r>
              <w:t xml:space="preserve">NCT02446912 -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Two</w:t>
            </w:r>
            <w:proofErr w:type="spellEnd"/>
            <w:r>
              <w:t xml:space="preserve"> Doses </w:t>
            </w:r>
            <w:proofErr w:type="spellStart"/>
            <w:r>
              <w:t>of</w:t>
            </w:r>
            <w:proofErr w:type="spellEnd"/>
            <w:r>
              <w:t xml:space="preserve"> </w:t>
            </w:r>
            <w:proofErr w:type="spellStart"/>
            <w:r>
              <w:t>Anifrolumab</w:t>
            </w:r>
            <w:proofErr w:type="spellEnd"/>
            <w:r>
              <w:t xml:space="preserve"> </w:t>
            </w:r>
            <w:proofErr w:type="spellStart"/>
            <w:r>
              <w:t>Compared</w:t>
            </w:r>
            <w:proofErr w:type="spellEnd"/>
            <w:r>
              <w:t xml:space="preserve"> </w:t>
            </w:r>
            <w:proofErr w:type="spellStart"/>
            <w:r>
              <w:t>to</w:t>
            </w:r>
            <w:proofErr w:type="spellEnd"/>
            <w:r>
              <w:t xml:space="preserve"> Placebo in </w:t>
            </w:r>
            <w:proofErr w:type="spellStart"/>
            <w:r>
              <w:t>Adult</w:t>
            </w:r>
            <w:proofErr w:type="spellEnd"/>
            <w:r>
              <w:t xml:space="preserve"> </w:t>
            </w:r>
            <w:proofErr w:type="spellStart"/>
            <w:r>
              <w:t>Subjects</w:t>
            </w:r>
            <w:proofErr w:type="spellEnd"/>
            <w:r>
              <w:t xml:space="preserve"> </w:t>
            </w:r>
            <w:proofErr w:type="spellStart"/>
            <w:r>
              <w:t>With</w:t>
            </w:r>
            <w:proofErr w:type="spellEnd"/>
            <w:r>
              <w:t xml:space="preserve"> Active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386" w:type="dxa"/>
            <w:gridSpan w:val="2"/>
          </w:tcPr>
          <w:p w14:paraId="73350DD6" w14:textId="77777777" w:rsidR="00817793" w:rsidRDefault="002719FC">
            <w:pPr>
              <w:spacing w:before="120" w:after="120" w:line="240" w:lineRule="auto"/>
            </w:pPr>
            <w:r>
              <w:rPr>
                <w:b/>
              </w:rPr>
              <w:t xml:space="preserve">População: </w:t>
            </w:r>
            <w:r>
              <w:t>Pacientes</w:t>
            </w:r>
            <w:r>
              <w:rPr>
                <w:b/>
              </w:rPr>
              <w:t xml:space="preserve"> </w:t>
            </w:r>
            <w:r>
              <w:t>com lúpus eritematoso sistêmico (LES) ativo;</w:t>
            </w:r>
          </w:p>
          <w:p w14:paraId="26F80633" w14:textId="77777777" w:rsidR="00817793" w:rsidRDefault="002719FC">
            <w:pPr>
              <w:spacing w:before="120" w:after="120" w:line="240" w:lineRule="auto"/>
            </w:pPr>
            <w:r>
              <w:rPr>
                <w:b/>
              </w:rPr>
              <w:t xml:space="preserve">Intervenção: </w:t>
            </w:r>
            <w:proofErr w:type="spellStart"/>
            <w:r>
              <w:t>Anifrolumabe</w:t>
            </w:r>
            <w:proofErr w:type="spellEnd"/>
          </w:p>
          <w:p w14:paraId="738E4BC1" w14:textId="77777777" w:rsidR="00817793" w:rsidRDefault="002719FC">
            <w:pPr>
              <w:spacing w:before="120" w:after="120" w:line="240" w:lineRule="auto"/>
            </w:pPr>
            <w:r>
              <w:rPr>
                <w:b/>
              </w:rPr>
              <w:t xml:space="preserve">Comparador: </w:t>
            </w:r>
            <w:r>
              <w:t>Placebo</w:t>
            </w:r>
          </w:p>
          <w:p w14:paraId="4F075B8B" w14:textId="77777777" w:rsidR="00817793" w:rsidRDefault="002719FC">
            <w:pPr>
              <w:spacing w:before="120" w:after="120" w:line="240" w:lineRule="auto"/>
            </w:pPr>
            <w:r>
              <w:rPr>
                <w:b/>
              </w:rPr>
              <w:t xml:space="preserve">Desfecho primário: </w:t>
            </w:r>
            <w:r>
              <w:t xml:space="preserve">Número de participantes que atingiram um índice de resposta </w:t>
            </w:r>
            <w:proofErr w:type="gramStart"/>
            <w:r>
              <w:t>ao lúpus</w:t>
            </w:r>
            <w:proofErr w:type="gramEnd"/>
            <w:r>
              <w:t xml:space="preserve"> eritematoso sistêmico (LES) ≥4 (</w:t>
            </w:r>
            <w:proofErr w:type="gramStart"/>
            <w:r>
              <w:t>SRI[</w:t>
            </w:r>
            <w:proofErr w:type="gramEnd"/>
            <w:r>
              <w:t>4]) na semana 52 (análise original com regras de medicação restritas)</w:t>
            </w:r>
          </w:p>
          <w:p w14:paraId="32A539E9" w14:textId="77777777" w:rsidR="00817793" w:rsidRDefault="002719FC">
            <w:pPr>
              <w:spacing w:before="120" w:after="120" w:line="240" w:lineRule="auto"/>
            </w:pPr>
            <w:r>
              <w:rPr>
                <w:b/>
              </w:rPr>
              <w:t>Desfechos secundários:</w:t>
            </w:r>
            <w:r>
              <w:t xml:space="preserve"> Número de participantes que atingiram um índice de resposta ao lúpus eritematoso sistêmico (LES) ≥4 na semana 52 no subgrupo com teste de interferon (IFN) alto (análise original com regras de </w:t>
            </w:r>
            <w:r>
              <w:lastRenderedPageBreak/>
              <w:t xml:space="preserve">medicação restritas), Número de participantes que atingiram e mantiveram uma dose de corticosteroide oral (COO) ≤7,5 mg/dia no subgrupo de participantes com COO basal ≥10 mg/dia (análise original com regras de medicação restritas), Número de participantes com redução ≥50% na pontuação de atividade CLASI na semana 12 no subgrupo de participantes com pontuação de atividade CLASI basal ≥10 (análise original com regras de medicação restrita), Número de participantes que atingiram um índice de resposta ao lúpus eritematoso sistêmico (LES) ≥4 (SRI[4]) na semana 24 (análise original com regras de medicação restritas), Taxa de </w:t>
            </w:r>
            <w:proofErr w:type="spellStart"/>
            <w:r w:rsidRPr="00326C00">
              <w:rPr>
                <w:i/>
                <w:iCs/>
              </w:rPr>
              <w:t>flare</w:t>
            </w:r>
            <w:proofErr w:type="spellEnd"/>
            <w:r>
              <w:t xml:space="preserve"> anualizada, Número de participantes que atenderam aos critérios para a resposta do grupo de avaliação de lúpus composto (BICLA) (análise original com regras de medicação restrita), Número de participantes relatando um ou mais eventos adversos (EA), Número de participantes relatando um ou mais eventos adversos de interesse especial (AESI), Número de participantes com sinais vitais marcadamente anormais, Número de participantes com exames físicos marcadamente anormais, Número de participantes com pontuações de eletrocardiograma (ECG) marcadamente anormais, Número de participantes com surto de lúpus leve a moderado avaliado pelo Índice de surto de segurança de estrogênios no lúpus eritematoso modificado (SELENA)-SLEDAI, Número de participantes com testes laboratoriais marcadamente anormais, Número de participantes com ideação ou comportamento suicida avaliados pela Escala de Classificação de Gravidade do Suicídio de Columbia (C-SSRS), Mudança em relação à linha de base na pontuação da Escala de Depressão do Questionário de Saúde Pessoal-8 (PHQ-8).</w:t>
            </w:r>
          </w:p>
          <w:p w14:paraId="240B851B" w14:textId="77777777" w:rsidR="00817793" w:rsidRDefault="002719FC">
            <w:pPr>
              <w:spacing w:before="120" w:after="120" w:line="240" w:lineRule="auto"/>
              <w:rPr>
                <w:b/>
              </w:rPr>
            </w:pPr>
            <w:r>
              <w:rPr>
                <w:b/>
              </w:rPr>
              <w:t xml:space="preserve">ECR fase III (TULIP-1), concluído, com resultados publicados, incluído na análise através do estudo </w:t>
            </w:r>
            <w:proofErr w:type="spellStart"/>
            <w:r>
              <w:rPr>
                <w:b/>
              </w:rPr>
              <w:t>Furie</w:t>
            </w:r>
            <w:proofErr w:type="spellEnd"/>
            <w:r>
              <w:rPr>
                <w:b/>
              </w:rPr>
              <w:t xml:space="preserve"> et al. (2019).</w:t>
            </w:r>
          </w:p>
        </w:tc>
      </w:tr>
      <w:tr w:rsidR="00817793" w14:paraId="03C3AB1E" w14:textId="77777777">
        <w:trPr>
          <w:trHeight w:val="413"/>
          <w:jc w:val="center"/>
        </w:trPr>
        <w:tc>
          <w:tcPr>
            <w:tcW w:w="3756" w:type="dxa"/>
          </w:tcPr>
          <w:p w14:paraId="56337B08" w14:textId="77777777" w:rsidR="00817793" w:rsidRDefault="002719FC">
            <w:pPr>
              <w:spacing w:before="120" w:after="120" w:line="240" w:lineRule="auto"/>
              <w:jc w:val="center"/>
            </w:pPr>
            <w:r>
              <w:lastRenderedPageBreak/>
              <w:t xml:space="preserve">NCT02446899 -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w:t>
            </w:r>
            <w:proofErr w:type="spellStart"/>
            <w:r>
              <w:t>Compared</w:t>
            </w:r>
            <w:proofErr w:type="spellEnd"/>
            <w:r>
              <w:t xml:space="preserve"> </w:t>
            </w:r>
            <w:proofErr w:type="spellStart"/>
            <w:r>
              <w:t>to</w:t>
            </w:r>
            <w:proofErr w:type="spellEnd"/>
            <w:r>
              <w:t xml:space="preserve"> Placebo in </w:t>
            </w:r>
            <w:proofErr w:type="spellStart"/>
            <w:r>
              <w:t>Adult</w:t>
            </w:r>
            <w:proofErr w:type="spellEnd"/>
            <w:r>
              <w:t xml:space="preserve"> </w:t>
            </w:r>
            <w:proofErr w:type="spellStart"/>
            <w:r>
              <w:t>Subjects</w:t>
            </w:r>
            <w:proofErr w:type="spellEnd"/>
            <w:r>
              <w:t xml:space="preserve"> </w:t>
            </w:r>
            <w:proofErr w:type="spellStart"/>
            <w:r>
              <w:t>With</w:t>
            </w:r>
            <w:proofErr w:type="spellEnd"/>
            <w:r>
              <w:t xml:space="preserve"> Active </w:t>
            </w:r>
            <w:proofErr w:type="spellStart"/>
            <w:r>
              <w:t>Systemic</w:t>
            </w:r>
            <w:proofErr w:type="spellEnd"/>
            <w:r>
              <w:t xml:space="preserve"> </w:t>
            </w:r>
            <w:proofErr w:type="spellStart"/>
            <w:r>
              <w:t>Lupus</w:t>
            </w:r>
            <w:proofErr w:type="spellEnd"/>
            <w:r>
              <w:t xml:space="preserve"> </w:t>
            </w:r>
            <w:proofErr w:type="spellStart"/>
            <w:r>
              <w:t>Erythematosus</w:t>
            </w:r>
            <w:proofErr w:type="spellEnd"/>
          </w:p>
        </w:tc>
        <w:tc>
          <w:tcPr>
            <w:tcW w:w="5386" w:type="dxa"/>
            <w:gridSpan w:val="2"/>
          </w:tcPr>
          <w:p w14:paraId="50C457ED" w14:textId="77777777" w:rsidR="00817793" w:rsidRDefault="002719FC">
            <w:pPr>
              <w:spacing w:before="120" w:after="120" w:line="240" w:lineRule="auto"/>
            </w:pPr>
            <w:r>
              <w:rPr>
                <w:b/>
              </w:rPr>
              <w:t xml:space="preserve">População: </w:t>
            </w:r>
            <w:r>
              <w:t>Pacientes</w:t>
            </w:r>
            <w:r>
              <w:rPr>
                <w:b/>
              </w:rPr>
              <w:t xml:space="preserve"> </w:t>
            </w:r>
            <w:r>
              <w:t>com lúpus eritematoso sistêmico (LES) ativo;</w:t>
            </w:r>
          </w:p>
          <w:p w14:paraId="19B75FAC" w14:textId="77777777" w:rsidR="00817793" w:rsidRDefault="002719FC">
            <w:pPr>
              <w:spacing w:before="120" w:after="120" w:line="240" w:lineRule="auto"/>
            </w:pPr>
            <w:r>
              <w:rPr>
                <w:b/>
              </w:rPr>
              <w:t xml:space="preserve">Intervenção: </w:t>
            </w:r>
            <w:proofErr w:type="spellStart"/>
            <w:r>
              <w:t>Anifrolumabe</w:t>
            </w:r>
            <w:proofErr w:type="spellEnd"/>
          </w:p>
          <w:p w14:paraId="305F7494" w14:textId="77777777" w:rsidR="00817793" w:rsidRDefault="002719FC">
            <w:pPr>
              <w:spacing w:before="120" w:after="120" w:line="240" w:lineRule="auto"/>
            </w:pPr>
            <w:r>
              <w:rPr>
                <w:b/>
              </w:rPr>
              <w:t xml:space="preserve">Comparador: </w:t>
            </w:r>
            <w:r>
              <w:t>Placebo</w:t>
            </w:r>
          </w:p>
          <w:p w14:paraId="37FAE263" w14:textId="77777777" w:rsidR="00817793" w:rsidRDefault="002719FC">
            <w:pPr>
              <w:spacing w:before="120" w:after="120" w:line="240" w:lineRule="auto"/>
            </w:pPr>
            <w:r>
              <w:rPr>
                <w:b/>
              </w:rPr>
              <w:t xml:space="preserve">Desfecho primário: </w:t>
            </w:r>
            <w:r>
              <w:t xml:space="preserve">Número de participantes que obtiveram a resposta do British </w:t>
            </w:r>
            <w:proofErr w:type="spellStart"/>
            <w:r>
              <w:t>Isles</w:t>
            </w:r>
            <w:proofErr w:type="spellEnd"/>
            <w:r>
              <w:t xml:space="preserve"> </w:t>
            </w:r>
            <w:proofErr w:type="spellStart"/>
            <w:r>
              <w:t>Lupus</w:t>
            </w:r>
            <w:proofErr w:type="spellEnd"/>
            <w:r>
              <w:t xml:space="preserve"> Assessment </w:t>
            </w:r>
            <w:proofErr w:type="spellStart"/>
            <w:r>
              <w:lastRenderedPageBreak/>
              <w:t>Group</w:t>
            </w:r>
            <w:proofErr w:type="spellEnd"/>
            <w:r>
              <w:t xml:space="preserve"> </w:t>
            </w:r>
            <w:proofErr w:type="spellStart"/>
            <w:r>
              <w:t>Based</w:t>
            </w:r>
            <w:proofErr w:type="spellEnd"/>
            <w:r>
              <w:t xml:space="preserve"> </w:t>
            </w:r>
            <w:proofErr w:type="spellStart"/>
            <w:r>
              <w:t>Composite</w:t>
            </w:r>
            <w:proofErr w:type="spellEnd"/>
            <w:r>
              <w:t xml:space="preserve"> </w:t>
            </w:r>
            <w:proofErr w:type="spellStart"/>
            <w:r>
              <w:t>Lupus</w:t>
            </w:r>
            <w:proofErr w:type="spellEnd"/>
            <w:r>
              <w:t xml:space="preserve"> Assessment (BICLA) na semana 52</w:t>
            </w:r>
          </w:p>
          <w:p w14:paraId="11AD14F1" w14:textId="13182870" w:rsidR="00817793" w:rsidRDefault="002719FC">
            <w:pPr>
              <w:spacing w:before="120" w:after="120" w:line="240" w:lineRule="auto"/>
            </w:pPr>
            <w:r>
              <w:rPr>
                <w:b/>
              </w:rPr>
              <w:t>Desfechos secundários:</w:t>
            </w:r>
            <w:r>
              <w:t xml:space="preserve"> Número de participantes que obtiveram a resposta do British </w:t>
            </w:r>
            <w:proofErr w:type="spellStart"/>
            <w:r>
              <w:t>Isles</w:t>
            </w:r>
            <w:proofErr w:type="spellEnd"/>
            <w:r>
              <w:t xml:space="preserve"> </w:t>
            </w:r>
            <w:proofErr w:type="spellStart"/>
            <w:r>
              <w:t>Lupus</w:t>
            </w:r>
            <w:proofErr w:type="spellEnd"/>
            <w:r>
              <w:t xml:space="preserve"> Assessment </w:t>
            </w:r>
            <w:proofErr w:type="spellStart"/>
            <w:r>
              <w:t>Group</w:t>
            </w:r>
            <w:proofErr w:type="spellEnd"/>
            <w:r>
              <w:t xml:space="preserve"> </w:t>
            </w:r>
            <w:proofErr w:type="spellStart"/>
            <w:r>
              <w:t>Based</w:t>
            </w:r>
            <w:proofErr w:type="spellEnd"/>
            <w:r>
              <w:t xml:space="preserve"> </w:t>
            </w:r>
            <w:proofErr w:type="spellStart"/>
            <w:r>
              <w:t>Composite</w:t>
            </w:r>
            <w:proofErr w:type="spellEnd"/>
            <w:r>
              <w:t xml:space="preserve"> </w:t>
            </w:r>
            <w:proofErr w:type="spellStart"/>
            <w:r>
              <w:t>Lupus</w:t>
            </w:r>
            <w:proofErr w:type="spellEnd"/>
            <w:r>
              <w:t xml:space="preserve"> Assessment (BICLA) na semana 52 no subgrupo IFN Test-High, Número de participantes que atingiram e mantiveram uma dose de corticosteroides orais (COO) ≤7,5 mg/dia na semana 52 no subgrupo de participantes com COO basal ≥10 mg/dia, Número de participantes com redução ≥50% na pontuação de atividade do índice de gravidade e área da doença do lúpus eritematoso cutâneo (CLASI) na semana 12 no subgrupo de participantes com pontuação de atividade CLASI basal ≥10, Número de participantes com redução ≥50% na contagem de articulações na semana 52 no subgrupo de participantes com ≥6 articulações inchadas e ≥6 sensíveis na linha de base,</w:t>
            </w:r>
            <w:r w:rsidR="00326C00">
              <w:t xml:space="preserve"> </w:t>
            </w:r>
            <w:r>
              <w:t>Taxa de surto anualizada ao longo de 52 semanas, Número de participantes com um ou mais eventos adversos (</w:t>
            </w:r>
            <w:proofErr w:type="spellStart"/>
            <w:r>
              <w:t>EAs</w:t>
            </w:r>
            <w:proofErr w:type="spellEnd"/>
            <w:r>
              <w:t>), Número de participantes com um ou mais eventos adversos de interesse especial (</w:t>
            </w:r>
            <w:proofErr w:type="spellStart"/>
            <w:r>
              <w:t>AESIs</w:t>
            </w:r>
            <w:proofErr w:type="spellEnd"/>
            <w:r>
              <w:t>), Número de participantes com uma alteração clinicamente importante em relação à linha de base nas medições de sinais vitais,</w:t>
            </w:r>
            <w:r w:rsidR="00326C00">
              <w:t xml:space="preserve"> </w:t>
            </w:r>
            <w:r>
              <w:t>Número de participantes com uma alteração clinicamente importante em relação à linha de base em testes de laboratório clínico.</w:t>
            </w:r>
          </w:p>
          <w:p w14:paraId="545392F4" w14:textId="77777777" w:rsidR="00817793" w:rsidRDefault="002719FC">
            <w:pPr>
              <w:spacing w:before="120" w:after="120" w:line="240" w:lineRule="auto"/>
              <w:rPr>
                <w:b/>
              </w:rPr>
            </w:pPr>
            <w:r>
              <w:rPr>
                <w:b/>
              </w:rPr>
              <w:t xml:space="preserve">ECR fase III (TULIP-2), concluído, com resultados publicados, incluído na análise através do estudo </w:t>
            </w:r>
            <w:proofErr w:type="spellStart"/>
            <w:r>
              <w:rPr>
                <w:b/>
              </w:rPr>
              <w:t>Furie</w:t>
            </w:r>
            <w:proofErr w:type="spellEnd"/>
            <w:r>
              <w:rPr>
                <w:b/>
              </w:rPr>
              <w:t xml:space="preserve"> et al. (2019).</w:t>
            </w:r>
          </w:p>
        </w:tc>
      </w:tr>
      <w:tr w:rsidR="00817793" w14:paraId="44C4CF27" w14:textId="77777777">
        <w:trPr>
          <w:trHeight w:val="413"/>
          <w:jc w:val="center"/>
        </w:trPr>
        <w:tc>
          <w:tcPr>
            <w:tcW w:w="3756" w:type="dxa"/>
          </w:tcPr>
          <w:p w14:paraId="22408825" w14:textId="77777777" w:rsidR="00817793" w:rsidRDefault="002719FC">
            <w:pPr>
              <w:spacing w:before="120" w:after="120" w:line="240" w:lineRule="auto"/>
              <w:jc w:val="center"/>
            </w:pPr>
            <w:r>
              <w:lastRenderedPageBreak/>
              <w:t xml:space="preserve">NCT06015737 - A 2-stage, </w:t>
            </w:r>
            <w:proofErr w:type="spellStart"/>
            <w:r>
              <w:t>Phase</w:t>
            </w:r>
            <w:proofErr w:type="spellEnd"/>
            <w:r>
              <w:t xml:space="preserve"> III </w:t>
            </w:r>
            <w:proofErr w:type="spellStart"/>
            <w:r>
              <w:t>Study</w:t>
            </w:r>
            <w:proofErr w:type="spellEnd"/>
            <w:r>
              <w:t xml:space="preserve"> </w:t>
            </w:r>
            <w:proofErr w:type="spellStart"/>
            <w:r>
              <w:t>to</w:t>
            </w:r>
            <w:proofErr w:type="spellEnd"/>
            <w:r>
              <w:t xml:space="preserve"> </w:t>
            </w:r>
            <w:proofErr w:type="spellStart"/>
            <w:r>
              <w:t>Investigate</w:t>
            </w:r>
            <w:proofErr w:type="spellEnd"/>
            <w:r>
              <w:t xml:space="preserve"> </w:t>
            </w:r>
            <w:proofErr w:type="spellStart"/>
            <w:r>
              <w:t>the</w:t>
            </w:r>
            <w:proofErr w:type="spellEnd"/>
            <w:r>
              <w:t xml:space="preserve"> </w:t>
            </w:r>
            <w:proofErr w:type="spellStart"/>
            <w:r>
              <w:t>Efficacy</w:t>
            </w:r>
            <w:proofErr w:type="spellEnd"/>
            <w:r>
              <w:t xml:space="preserve"> </w:t>
            </w:r>
            <w:proofErr w:type="spellStart"/>
            <w:r>
              <w:t>and</w:t>
            </w:r>
            <w:proofErr w:type="spellEnd"/>
            <w:r>
              <w:t xml:space="preserve"> </w:t>
            </w:r>
            <w:proofErr w:type="spellStart"/>
            <w:r>
              <w:t>Safety</w:t>
            </w:r>
            <w:proofErr w:type="spellEnd"/>
            <w:r>
              <w:t xml:space="preserve"> </w:t>
            </w:r>
            <w:proofErr w:type="spellStart"/>
            <w:r>
              <w:t>of</w:t>
            </w:r>
            <w:proofErr w:type="spellEnd"/>
            <w:r>
              <w:t xml:space="preserve"> </w:t>
            </w:r>
            <w:proofErr w:type="spellStart"/>
            <w:r>
              <w:t>Anifrolumab</w:t>
            </w:r>
            <w:proofErr w:type="spellEnd"/>
            <w:r>
              <w:t xml:space="preserve"> in </w:t>
            </w:r>
            <w:proofErr w:type="spellStart"/>
            <w:r>
              <w:t>Adults</w:t>
            </w:r>
            <w:proofErr w:type="spellEnd"/>
            <w:r>
              <w:t xml:space="preserve"> </w:t>
            </w:r>
            <w:proofErr w:type="spellStart"/>
            <w:r>
              <w:t>With</w:t>
            </w:r>
            <w:proofErr w:type="spellEnd"/>
            <w:r>
              <w:t xml:space="preserve"> </w:t>
            </w:r>
            <w:proofErr w:type="spellStart"/>
            <w:r>
              <w:t>Chronic</w:t>
            </w:r>
            <w:proofErr w:type="spellEnd"/>
            <w:r>
              <w:t xml:space="preserve"> </w:t>
            </w:r>
            <w:proofErr w:type="spellStart"/>
            <w:r>
              <w:t>and</w:t>
            </w:r>
            <w:proofErr w:type="spellEnd"/>
            <w:r>
              <w:t>/​</w:t>
            </w:r>
            <w:proofErr w:type="spellStart"/>
            <w:r>
              <w:t>or</w:t>
            </w:r>
            <w:proofErr w:type="spellEnd"/>
            <w:r>
              <w:t xml:space="preserve"> </w:t>
            </w:r>
            <w:proofErr w:type="spellStart"/>
            <w:r>
              <w:t>Subacute</w:t>
            </w:r>
            <w:proofErr w:type="spellEnd"/>
            <w:r>
              <w:t xml:space="preserve"> </w:t>
            </w:r>
            <w:proofErr w:type="spellStart"/>
            <w:r>
              <w:t>Cutaneous</w:t>
            </w:r>
            <w:proofErr w:type="spellEnd"/>
            <w:r>
              <w:t xml:space="preserve"> </w:t>
            </w:r>
            <w:proofErr w:type="spellStart"/>
            <w:r>
              <w:t>Lupus</w:t>
            </w:r>
            <w:proofErr w:type="spellEnd"/>
            <w:r>
              <w:t xml:space="preserve"> </w:t>
            </w:r>
            <w:proofErr w:type="spellStart"/>
            <w:r>
              <w:t>Erythematosus</w:t>
            </w:r>
            <w:proofErr w:type="spellEnd"/>
            <w:r>
              <w:t xml:space="preserve"> (LAVENDER)</w:t>
            </w:r>
          </w:p>
        </w:tc>
        <w:tc>
          <w:tcPr>
            <w:tcW w:w="5386" w:type="dxa"/>
            <w:gridSpan w:val="2"/>
          </w:tcPr>
          <w:p w14:paraId="2DFF0992" w14:textId="77777777" w:rsidR="00817793" w:rsidRDefault="002719FC">
            <w:pPr>
              <w:spacing w:before="120" w:after="120" w:line="240" w:lineRule="auto"/>
            </w:pPr>
            <w:r>
              <w:rPr>
                <w:b/>
              </w:rPr>
              <w:t xml:space="preserve">População: </w:t>
            </w:r>
            <w:r>
              <w:t>Pacientes</w:t>
            </w:r>
            <w:r>
              <w:rPr>
                <w:b/>
              </w:rPr>
              <w:t xml:space="preserve"> </w:t>
            </w:r>
            <w:r>
              <w:t>com lúpus eritematoso cutâneo (LEC);</w:t>
            </w:r>
          </w:p>
          <w:p w14:paraId="1E1D9C28" w14:textId="77777777" w:rsidR="00817793" w:rsidRDefault="002719FC">
            <w:pPr>
              <w:spacing w:before="120" w:after="120" w:line="240" w:lineRule="auto"/>
            </w:pPr>
            <w:r>
              <w:rPr>
                <w:b/>
              </w:rPr>
              <w:t xml:space="preserve">Intervenção: </w:t>
            </w:r>
            <w:proofErr w:type="spellStart"/>
            <w:r>
              <w:t>Anifrolumabe</w:t>
            </w:r>
            <w:proofErr w:type="spellEnd"/>
          </w:p>
          <w:p w14:paraId="45DFE94C" w14:textId="77777777" w:rsidR="00817793" w:rsidRDefault="002719FC">
            <w:pPr>
              <w:spacing w:before="120" w:after="120" w:line="240" w:lineRule="auto"/>
            </w:pPr>
            <w:r>
              <w:rPr>
                <w:b/>
              </w:rPr>
              <w:t xml:space="preserve">Comparador: </w:t>
            </w:r>
            <w:r>
              <w:t>Placebo</w:t>
            </w:r>
          </w:p>
          <w:p w14:paraId="1F65F355" w14:textId="77777777" w:rsidR="00817793" w:rsidRDefault="002719FC">
            <w:pPr>
              <w:spacing w:before="120" w:after="120" w:line="240" w:lineRule="auto"/>
            </w:pPr>
            <w:r>
              <w:rPr>
                <w:b/>
              </w:rPr>
              <w:t xml:space="preserve">Desfecho primário: </w:t>
            </w:r>
            <w:r>
              <w:t>Estágio 1 e Estágio 2 (Estados Unidos [EUA]): Número de participantes com pontuação de eritema na Avaliação Global do Investigador Revisada (CLA-IGA-R) de 0 ou 1 e pelo menos uma redução de 2 pontos em relação à linha de base, Estágio 1 e Estágio 2 (União Europeia [UE]/Resto do Mundo [ROW]): Número de participantes com uma redução de 70% em relação à linha de base na pontuação do Índice de Área e Gravidade da Doença do Lúpus Eritematoso Cutâneo-Atividade (CLASI-A).</w:t>
            </w:r>
          </w:p>
          <w:p w14:paraId="0D54207B" w14:textId="77777777" w:rsidR="00817793" w:rsidRDefault="002719FC">
            <w:pPr>
              <w:spacing w:before="120" w:after="120" w:line="240" w:lineRule="auto"/>
            </w:pPr>
            <w:r>
              <w:rPr>
                <w:b/>
              </w:rPr>
              <w:lastRenderedPageBreak/>
              <w:t>Desfechos secundários:</w:t>
            </w:r>
            <w:r>
              <w:t xml:space="preserve"> Estágio 1 e Estágio 2 (EUA): Número de participantes que atingem uma pontuação CLA-IGA-R OMC de 0 ou 1 e pelo menos uma redução de 1 </w:t>
            </w:r>
            <w:proofErr w:type="spellStart"/>
            <w:r>
              <w:t>ponto</w:t>
            </w:r>
            <w:proofErr w:type="spellEnd"/>
            <w:r>
              <w:t xml:space="preserve"> em relação à linha de base, Estágio 1 e Estágio 2 (EUA): Número de participantes que alcançam uma pontuação CLA-IGA-R OMC de 0., Estágio 1 e Estágio 2 (EUA): Número de participantes com pontuação de atividade folicular CLA-IGA-R de 0, Estágio 1 e Estágio 2 (EU/ROW): Alteração percentual da linha de base na pontuação total de eritema CLASI-A, Estágio 1 e Estágio 2 (EU/ROW): Percentual de alteração em relação à linha de base na escala CLASI-A total/pontuação de hipertrofia, Estágio 1 e Estágio 2 (EUA): Número de participantes com pontuação de eritema CLA-IGA-R de 0 ou 1 e pelo menos uma redução de 2 pontos em relação à linha de base, ou uma pontuação CLA-IGA-R OMC de 0 ou 1 e pelo menos uma redução de 1 </w:t>
            </w:r>
            <w:proofErr w:type="spellStart"/>
            <w:r>
              <w:t>ponto</w:t>
            </w:r>
            <w:proofErr w:type="spellEnd"/>
            <w:r>
              <w:t xml:space="preserve"> em relação à linha de base, Estágio 1 e Estágio 2 (EUA): Número de participantes com pontuação de eritema CLA-IGA-R de 0 ou 1 e pelo menos uma redução de 2 pontos em relação à linha de base, Estágio 1 e Estágio 2 (EUA): Número de participantes com pontuação CLA-IGA-R OMC de 0 ou 1 e pelo menos uma redução de 1 </w:t>
            </w:r>
            <w:proofErr w:type="spellStart"/>
            <w:r>
              <w:t>ponto</w:t>
            </w:r>
            <w:proofErr w:type="spellEnd"/>
            <w:r>
              <w:t xml:space="preserve"> em relação à linha de base, Estágio 1 e Estágio 2 (EU/ROW): Número de participantes com resposta CLASI-70, Estágio 1 e Estágio 2 (EUA/UE/Reino do Mundo): Mudança em relação à linha de base nas pontuações do domínio Skindex-29+3, Estágio 1 e Estágio 2 (EUA/UE/Reino do Mundo): Concentrações séricas mínimas (</w:t>
            </w:r>
            <w:proofErr w:type="spellStart"/>
            <w:r>
              <w:t>pré-dose</w:t>
            </w:r>
            <w:proofErr w:type="spellEnd"/>
            <w:r>
              <w:t xml:space="preserve">) de </w:t>
            </w:r>
            <w:proofErr w:type="spellStart"/>
            <w:r>
              <w:t>anifrolumabe</w:t>
            </w:r>
            <w:proofErr w:type="spellEnd"/>
            <w:r>
              <w:t>, Estágio 1 e Estágio 2 (EUA/UE/ROW): Número de participantes com anticorpo antidrogas positivo, Estágio 1 e Estágio 2 (EUA/UE/Reino do Mundo): Alteração percentual em relação à linha de base na supressão do gene Interferon 21, Estágio 2 (EUA/UE/ROW): Número de participantes com redução ≥ 7 pontos em relação à linha de base na pontuação total CLASI-A, Estágio 2 (EUA): Número de participantes que responderam ao eritema CLA-IGA-R da Semana 24 até a Semana 52, inclusive, Estágio 2 (UE): Número de participantes que são respondedores CLASI-70 até e incluindo a Semana 52.</w:t>
            </w:r>
          </w:p>
          <w:p w14:paraId="3BBCAB8F" w14:textId="77777777" w:rsidR="00817793" w:rsidRDefault="002719FC">
            <w:pPr>
              <w:spacing w:before="120" w:after="120" w:line="240" w:lineRule="auto"/>
            </w:pPr>
            <w:r>
              <w:rPr>
                <w:b/>
              </w:rPr>
              <w:t xml:space="preserve">Outras medidas de resultado: </w:t>
            </w:r>
            <w:r>
              <w:t>Estágio 1 e Estágio 2 (EUA, UE e resto do mundo): Número de participantes com eventos adversos</w:t>
            </w:r>
          </w:p>
          <w:p w14:paraId="5CBE370B" w14:textId="77777777" w:rsidR="00817793" w:rsidRDefault="002719FC">
            <w:pPr>
              <w:spacing w:before="120" w:after="120" w:line="240" w:lineRule="auto"/>
              <w:rPr>
                <w:b/>
              </w:rPr>
            </w:pPr>
            <w:r>
              <w:rPr>
                <w:b/>
              </w:rPr>
              <w:t>ECR fase I e II, em recrutamento e sem resultados publicados</w:t>
            </w:r>
          </w:p>
        </w:tc>
      </w:tr>
      <w:tr w:rsidR="00817793" w14:paraId="3228DB2B" w14:textId="77777777">
        <w:trPr>
          <w:trHeight w:val="413"/>
          <w:jc w:val="center"/>
        </w:trPr>
        <w:tc>
          <w:tcPr>
            <w:tcW w:w="3756" w:type="dxa"/>
          </w:tcPr>
          <w:p w14:paraId="5281C4C0" w14:textId="77777777" w:rsidR="00817793" w:rsidRDefault="002719FC">
            <w:pPr>
              <w:spacing w:before="120" w:after="120" w:line="240" w:lineRule="auto"/>
              <w:jc w:val="center"/>
            </w:pPr>
            <w:r>
              <w:lastRenderedPageBreak/>
              <w:t xml:space="preserve">NCT04877691 - </w:t>
            </w:r>
            <w:proofErr w:type="spellStart"/>
            <w:r>
              <w:t>Subcutaneous</w:t>
            </w:r>
            <w:proofErr w:type="spellEnd"/>
            <w:r>
              <w:t xml:space="preserve"> </w:t>
            </w:r>
            <w:proofErr w:type="spellStart"/>
            <w:r>
              <w:t>Anifrolumab</w:t>
            </w:r>
            <w:proofErr w:type="spellEnd"/>
            <w:r>
              <w:t xml:space="preserve"> in </w:t>
            </w:r>
            <w:proofErr w:type="spellStart"/>
            <w:r>
              <w:t>Adult</w:t>
            </w:r>
            <w:proofErr w:type="spellEnd"/>
            <w:r>
              <w:t xml:space="preserve"> </w:t>
            </w:r>
            <w:proofErr w:type="spellStart"/>
            <w:r>
              <w:t>Patients</w:t>
            </w:r>
            <w:proofErr w:type="spellEnd"/>
            <w:r>
              <w:t xml:space="preserve"> </w:t>
            </w:r>
            <w:proofErr w:type="spellStart"/>
            <w:r>
              <w:t>With</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(Tulip SC)</w:t>
            </w:r>
          </w:p>
        </w:tc>
        <w:tc>
          <w:tcPr>
            <w:tcW w:w="5386" w:type="dxa"/>
            <w:gridSpan w:val="2"/>
          </w:tcPr>
          <w:p w14:paraId="6A2BF215" w14:textId="77777777" w:rsidR="00817793" w:rsidRDefault="002719FC">
            <w:pPr>
              <w:spacing w:before="120" w:after="120" w:line="240" w:lineRule="auto"/>
            </w:pPr>
            <w:r>
              <w:rPr>
                <w:b/>
              </w:rPr>
              <w:t xml:space="preserve">População: </w:t>
            </w:r>
            <w:r>
              <w:t>Pacientes</w:t>
            </w:r>
            <w:r>
              <w:rPr>
                <w:b/>
              </w:rPr>
              <w:t xml:space="preserve"> </w:t>
            </w:r>
            <w:r>
              <w:t>com lúpus eritematoso Sistêmico moderado a grave, apesar de receberem terapia padrão;</w:t>
            </w:r>
          </w:p>
          <w:p w14:paraId="40A626E7" w14:textId="77777777" w:rsidR="00817793" w:rsidRDefault="002719FC">
            <w:pPr>
              <w:spacing w:before="120" w:after="120" w:line="240" w:lineRule="auto"/>
            </w:pPr>
            <w:r>
              <w:rPr>
                <w:b/>
              </w:rPr>
              <w:t xml:space="preserve">Intervenção: </w:t>
            </w:r>
            <w:proofErr w:type="spellStart"/>
            <w:r>
              <w:t>Antifrolumabe</w:t>
            </w:r>
            <w:proofErr w:type="spellEnd"/>
            <w:r>
              <w:t xml:space="preserve"> SC</w:t>
            </w:r>
          </w:p>
          <w:p w14:paraId="67554719" w14:textId="77777777" w:rsidR="00817793" w:rsidRDefault="002719FC">
            <w:pPr>
              <w:spacing w:before="120" w:after="120" w:line="240" w:lineRule="auto"/>
            </w:pPr>
            <w:r>
              <w:rPr>
                <w:b/>
              </w:rPr>
              <w:t xml:space="preserve">Comparador: </w:t>
            </w:r>
            <w:r>
              <w:t>Placebo</w:t>
            </w:r>
          </w:p>
          <w:p w14:paraId="50ABFD61" w14:textId="77777777" w:rsidR="00817793" w:rsidRDefault="002719FC">
            <w:pPr>
              <w:spacing w:before="120" w:after="120" w:line="240" w:lineRule="auto"/>
            </w:pPr>
            <w:r>
              <w:rPr>
                <w:b/>
              </w:rPr>
              <w:t xml:space="preserve">Desfecho primário: </w:t>
            </w:r>
            <w:r>
              <w:t>Resposta da Avaliação Composta de Lúpus (BICLA) do Grupo de Avaliação de Lúpus das Ilhas Britânicas.</w:t>
            </w:r>
          </w:p>
          <w:p w14:paraId="28F20F54" w14:textId="20D40EF5" w:rsidR="00817793" w:rsidRDefault="002719FC">
            <w:pPr>
              <w:spacing w:before="120" w:after="120" w:line="240" w:lineRule="auto"/>
            </w:pPr>
            <w:r>
              <w:rPr>
                <w:b/>
              </w:rPr>
              <w:t>Desfechos secundários:</w:t>
            </w:r>
            <w:r>
              <w:t xml:space="preserve"> Tempo para a primeira resposta BICLA sustentada até a semana 52, Resposta BICLA com uso mantido baixo (ou reduzido) de corticoide oral (COS), tempo de até </w:t>
            </w:r>
            <w:r w:rsidRPr="00326C00">
              <w:t>o</w:t>
            </w:r>
            <w:r w:rsidRPr="00326C00">
              <w:rPr>
                <w:i/>
                <w:iCs/>
              </w:rPr>
              <w:t xml:space="preserve"> </w:t>
            </w:r>
            <w:proofErr w:type="spellStart"/>
            <w:r w:rsidRPr="00326C00">
              <w:rPr>
                <w:i/>
                <w:iCs/>
              </w:rPr>
              <w:t>flare</w:t>
            </w:r>
            <w:proofErr w:type="spellEnd"/>
            <w:r>
              <w:t xml:space="preserve">, Redução mantida de corticosteroides orais (CO) entre pacientes com CO basal ≥10 mg/dia., Taxa de </w:t>
            </w:r>
            <w:proofErr w:type="spellStart"/>
            <w:r w:rsidRPr="00326C00">
              <w:rPr>
                <w:i/>
                <w:iCs/>
              </w:rPr>
              <w:t>flare</w:t>
            </w:r>
            <w:proofErr w:type="spellEnd"/>
            <w:r>
              <w:t xml:space="preserve"> anualizada, SRI4.</w:t>
            </w:r>
          </w:p>
          <w:p w14:paraId="5A9E4E90" w14:textId="77777777" w:rsidR="00817793" w:rsidRDefault="002719FC">
            <w:pPr>
              <w:spacing w:before="120" w:after="120" w:line="240" w:lineRule="auto"/>
            </w:pPr>
            <w:r>
              <w:rPr>
                <w:b/>
              </w:rPr>
              <w:t xml:space="preserve">Outras medidas de resultado: </w:t>
            </w:r>
            <w:r>
              <w:t>Visão geral de eventos adversos.</w:t>
            </w:r>
          </w:p>
          <w:p w14:paraId="77362BD5" w14:textId="77777777" w:rsidR="00817793" w:rsidRDefault="002719FC">
            <w:pPr>
              <w:spacing w:before="120" w:after="120" w:line="240" w:lineRule="auto"/>
              <w:rPr>
                <w:b/>
              </w:rPr>
            </w:pPr>
            <w:r>
              <w:rPr>
                <w:b/>
              </w:rPr>
              <w:t>ECR fase III, não recrutando e sem resultados publicados</w:t>
            </w:r>
          </w:p>
        </w:tc>
      </w:tr>
      <w:tr w:rsidR="00817793" w14:paraId="23A65403" w14:textId="77777777">
        <w:trPr>
          <w:trHeight w:val="413"/>
          <w:jc w:val="center"/>
        </w:trPr>
        <w:tc>
          <w:tcPr>
            <w:tcW w:w="3756" w:type="dxa"/>
          </w:tcPr>
          <w:p w14:paraId="01024053" w14:textId="77777777" w:rsidR="00817793" w:rsidRPr="00115FE0" w:rsidRDefault="002719FC">
            <w:pPr>
              <w:spacing w:before="120" w:after="120" w:line="240" w:lineRule="auto"/>
              <w:jc w:val="center"/>
              <w:rPr>
                <w:lang w:val="de-DE"/>
              </w:rPr>
            </w:pPr>
            <w:r w:rsidRPr="00115FE0">
              <w:rPr>
                <w:lang w:val="de-DE"/>
              </w:rPr>
              <w:t>NCT05138133 - Phase 3 Study of Anifrolumab in Adult Patients With Active Proliferative Lupus Nephritis (IRIS)</w:t>
            </w:r>
          </w:p>
        </w:tc>
        <w:tc>
          <w:tcPr>
            <w:tcW w:w="5386" w:type="dxa"/>
            <w:gridSpan w:val="2"/>
          </w:tcPr>
          <w:p w14:paraId="1B62B4E2" w14:textId="77777777" w:rsidR="00817793" w:rsidRDefault="002719FC">
            <w:pPr>
              <w:spacing w:before="120" w:after="120" w:line="240" w:lineRule="auto"/>
            </w:pPr>
            <w:r>
              <w:rPr>
                <w:b/>
              </w:rPr>
              <w:t xml:space="preserve">População: </w:t>
            </w:r>
            <w:r>
              <w:t>Pacientes</w:t>
            </w:r>
            <w:r>
              <w:rPr>
                <w:b/>
              </w:rPr>
              <w:t xml:space="preserve"> </w:t>
            </w:r>
            <w:r>
              <w:t xml:space="preserve">com pacientes adultos com Nefrite </w:t>
            </w:r>
            <w:proofErr w:type="spellStart"/>
            <w:r>
              <w:t>Lúpica</w:t>
            </w:r>
            <w:proofErr w:type="spellEnd"/>
            <w:r>
              <w:t xml:space="preserve"> Proliferativa Ativa;</w:t>
            </w:r>
          </w:p>
          <w:p w14:paraId="4E1A774C" w14:textId="77777777" w:rsidR="00817793" w:rsidRDefault="002719FC">
            <w:pPr>
              <w:spacing w:before="120" w:after="120" w:line="240" w:lineRule="auto"/>
            </w:pPr>
            <w:r>
              <w:rPr>
                <w:b/>
              </w:rPr>
              <w:t xml:space="preserve">Intervenção: </w:t>
            </w:r>
            <w:proofErr w:type="spellStart"/>
            <w:r>
              <w:t>Antifrolumabe</w:t>
            </w:r>
            <w:proofErr w:type="spellEnd"/>
            <w:r>
              <w:t xml:space="preserve"> + SOC (consistindo </w:t>
            </w:r>
            <w:proofErr w:type="gramStart"/>
            <w:r>
              <w:t>de</w:t>
            </w:r>
            <w:proofErr w:type="gramEnd"/>
            <w:r>
              <w:t xml:space="preserve"> MMF e glicocorticoides)</w:t>
            </w:r>
          </w:p>
          <w:p w14:paraId="0C10686D" w14:textId="77777777" w:rsidR="00817793" w:rsidRDefault="002719FC">
            <w:pPr>
              <w:spacing w:before="120" w:after="120" w:line="240" w:lineRule="auto"/>
            </w:pPr>
            <w:r>
              <w:rPr>
                <w:b/>
              </w:rPr>
              <w:t xml:space="preserve">Comparador: </w:t>
            </w:r>
            <w:r>
              <w:t xml:space="preserve">Placebo + SOC (consistindo </w:t>
            </w:r>
            <w:proofErr w:type="gramStart"/>
            <w:r>
              <w:t>de</w:t>
            </w:r>
            <w:proofErr w:type="gramEnd"/>
            <w:r>
              <w:t xml:space="preserve"> MMF e glicocorticoides)</w:t>
            </w:r>
          </w:p>
          <w:p w14:paraId="1B8E45D7" w14:textId="77777777" w:rsidR="00817793" w:rsidRDefault="002719FC">
            <w:pPr>
              <w:spacing w:before="120" w:after="120" w:line="240" w:lineRule="auto"/>
            </w:pPr>
            <w:r>
              <w:rPr>
                <w:b/>
              </w:rPr>
              <w:t xml:space="preserve">Desfecho primário: </w:t>
            </w:r>
            <w:r>
              <w:t xml:space="preserve">Diferença na proporção de participantes com RRC (Resposta Renal Completa) no grupo </w:t>
            </w:r>
            <w:proofErr w:type="spellStart"/>
            <w:r>
              <w:t>anifrolumabe</w:t>
            </w:r>
            <w:proofErr w:type="spellEnd"/>
            <w:r>
              <w:t xml:space="preserve"> em comparação com o grupo placebo.</w:t>
            </w:r>
          </w:p>
          <w:p w14:paraId="528F6309" w14:textId="77777777" w:rsidR="00817793" w:rsidRDefault="002719FC">
            <w:pPr>
              <w:spacing w:before="120" w:after="120" w:line="240" w:lineRule="auto"/>
            </w:pPr>
            <w:r>
              <w:rPr>
                <w:b/>
              </w:rPr>
              <w:t>Desfechos secundários:</w:t>
            </w:r>
            <w:r>
              <w:t xml:space="preserve"> Diferença na proporção de participantes que alcançaram redução sustentada do OCS no grupo </w:t>
            </w:r>
            <w:proofErr w:type="spellStart"/>
            <w:r>
              <w:t>anifrolumabe</w:t>
            </w:r>
            <w:proofErr w:type="spellEnd"/>
            <w:r>
              <w:t xml:space="preserve"> em comparação ao grupo placebo, Razão de risco (HR) de obtenção de RRC sustentada em </w:t>
            </w:r>
            <w:proofErr w:type="spellStart"/>
            <w:r>
              <w:t>anifrolumabe</w:t>
            </w:r>
            <w:proofErr w:type="spellEnd"/>
            <w:r>
              <w:t xml:space="preserve"> em comparação com o grupo placebo, Diferença na AUC padronizada média para UPCR entre participantes com </w:t>
            </w:r>
            <w:proofErr w:type="spellStart"/>
            <w:r>
              <w:t>anifrolumabe</w:t>
            </w:r>
            <w:proofErr w:type="spellEnd"/>
            <w:r>
              <w:t xml:space="preserve"> e placebo, HR para resumir a diferença no risco de risco de evento renal ou morte em qualquer momento entre os participantes do grupo </w:t>
            </w:r>
            <w:proofErr w:type="spellStart"/>
            <w:r>
              <w:t>anifrolumabe</w:t>
            </w:r>
            <w:proofErr w:type="spellEnd"/>
            <w:r>
              <w:t xml:space="preserve"> e do grupo placebo, Diferença na proporção de participantes que atingiram </w:t>
            </w:r>
            <w:proofErr w:type="spellStart"/>
            <w:r>
              <w:t>aCRR</w:t>
            </w:r>
            <w:proofErr w:type="spellEnd"/>
            <w:r>
              <w:t xml:space="preserve"> (Resposta Renal Completa Alternativa), Diferença na proporção de participantes que atingiram CRR com redução sustentada do OCS, Diferença na proporção de participantes que </w:t>
            </w:r>
            <w:r>
              <w:lastRenderedPageBreak/>
              <w:t xml:space="preserve">atingiram a RRC, HR de obtenção de CRR sustentado em </w:t>
            </w:r>
            <w:proofErr w:type="spellStart"/>
            <w:r>
              <w:t>anifrolumabe</w:t>
            </w:r>
            <w:proofErr w:type="spellEnd"/>
            <w:r>
              <w:t xml:space="preserve"> em comparação com placebo, HR de atingir redução de 50% no UPCR em </w:t>
            </w:r>
            <w:proofErr w:type="spellStart"/>
            <w:r>
              <w:t>anifrolumabe</w:t>
            </w:r>
            <w:proofErr w:type="spellEnd"/>
            <w:r>
              <w:t xml:space="preserve"> em comparação ao grupo placebo, Diferença na UPCR média entre o grupo </w:t>
            </w:r>
            <w:proofErr w:type="spellStart"/>
            <w:r>
              <w:t>anifrolumabe</w:t>
            </w:r>
            <w:proofErr w:type="spellEnd"/>
            <w:r>
              <w:t xml:space="preserve"> e o grupo placebo, PRR (Resposta Renal Parcial), Diferença na mudança da linha de base na pontuação total extra-renal do SLEDAI-2K, Diferença na mudança média em relação à linha de base nos domínios e pontuações dos componentes do Short Form-36 Versão 2 (SF-36v2) e da pontuação total da Avaliação Funcional da Terapia de Doenças Crônicas-Fadiga (FACIT-fadiga).</w:t>
            </w:r>
          </w:p>
          <w:p w14:paraId="359DEE9B" w14:textId="77777777" w:rsidR="00817793" w:rsidRDefault="002719FC">
            <w:pPr>
              <w:spacing w:before="120" w:after="120" w:line="240" w:lineRule="auto"/>
              <w:rPr>
                <w:b/>
              </w:rPr>
            </w:pPr>
            <w:r>
              <w:rPr>
                <w:b/>
              </w:rPr>
              <w:t>ECR fase III, recrutando e sem resultados publicados</w:t>
            </w:r>
          </w:p>
        </w:tc>
      </w:tr>
    </w:tbl>
    <w:p w14:paraId="2BF659CF" w14:textId="77777777" w:rsidR="00817793" w:rsidRDefault="002719FC">
      <w:pPr>
        <w:rPr>
          <w:smallCaps/>
          <w:sz w:val="16"/>
          <w:szCs w:val="16"/>
        </w:rPr>
      </w:pPr>
      <w:r>
        <w:rPr>
          <w:smallCaps/>
          <w:sz w:val="16"/>
          <w:szCs w:val="16"/>
        </w:rPr>
        <w:lastRenderedPageBreak/>
        <w:t>Legenda: LES: Lúpus Eritematoso Sistêmico</w:t>
      </w:r>
    </w:p>
    <w:tbl>
      <w:tblPr>
        <w:tblStyle w:val="af2"/>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2DC2620" w14:textId="77777777">
        <w:trPr>
          <w:trHeight w:val="416"/>
        </w:trPr>
        <w:tc>
          <w:tcPr>
            <w:tcW w:w="9072" w:type="dxa"/>
            <w:shd w:val="clear" w:color="auto" w:fill="D9E2F3"/>
            <w:vAlign w:val="center"/>
          </w:tcPr>
          <w:p w14:paraId="4752286A" w14:textId="77777777" w:rsidR="00817793" w:rsidRDefault="002719FC">
            <w:pPr>
              <w:spacing w:before="120" w:after="120" w:line="240" w:lineRule="auto"/>
              <w:jc w:val="center"/>
              <w:rPr>
                <w:b/>
              </w:rPr>
            </w:pPr>
            <w:r>
              <w:rPr>
                <w:b/>
              </w:rPr>
              <w:t>Comentários gerais sobre a lista de estudos em andamento</w:t>
            </w:r>
          </w:p>
        </w:tc>
      </w:tr>
      <w:tr w:rsidR="00817793" w14:paraId="72C4A089" w14:textId="77777777">
        <w:trPr>
          <w:trHeight w:val="750"/>
        </w:trPr>
        <w:tc>
          <w:tcPr>
            <w:tcW w:w="9072" w:type="dxa"/>
            <w:vAlign w:val="center"/>
          </w:tcPr>
          <w:p w14:paraId="15842CD0" w14:textId="77777777" w:rsidR="00817793" w:rsidRDefault="002719FC">
            <w:pPr>
              <w:spacing w:before="120" w:after="120" w:line="240" w:lineRule="auto"/>
              <w:ind w:firstLine="566"/>
            </w:pPr>
            <w:r>
              <w:t xml:space="preserve">O proponente não apresentou estudos em andamento registrados no </w:t>
            </w:r>
            <w:proofErr w:type="spellStart"/>
            <w:r>
              <w:t>ClinicalTrials</w:t>
            </w:r>
            <w:proofErr w:type="spellEnd"/>
            <w:r>
              <w:t xml:space="preserve"> ou em outra base de dados de ensaios clínicos. </w:t>
            </w:r>
          </w:p>
          <w:p w14:paraId="303EEBAF" w14:textId="77777777" w:rsidR="00817793" w:rsidRDefault="002719FC">
            <w:pPr>
              <w:spacing w:before="120" w:after="120" w:line="240" w:lineRule="auto"/>
              <w:ind w:firstLine="566"/>
            </w:pPr>
            <w:r>
              <w:t xml:space="preserve">Em contrapartida, os pareceristas realizaram uma pesquisa no </w:t>
            </w:r>
            <w:proofErr w:type="spellStart"/>
            <w:r w:rsidRPr="00326C00">
              <w:rPr>
                <w:i/>
                <w:iCs/>
              </w:rPr>
              <w:t>ClinicalTrials</w:t>
            </w:r>
            <w:proofErr w:type="spellEnd"/>
            <w:r>
              <w:t xml:space="preserve"> e identificaram oito estudos relevantes. Para a estratégia de busca, foram utilizados os termos “</w:t>
            </w:r>
            <w:proofErr w:type="spellStart"/>
            <w:r w:rsidRPr="00326C00">
              <w:rPr>
                <w:i/>
                <w:iCs/>
              </w:rPr>
              <w:t>Lupus</w:t>
            </w:r>
            <w:proofErr w:type="spellEnd"/>
            <w:r w:rsidRPr="00326C00">
              <w:rPr>
                <w:i/>
                <w:iCs/>
              </w:rPr>
              <w:t xml:space="preserve"> </w:t>
            </w:r>
            <w:proofErr w:type="spellStart"/>
            <w:r w:rsidRPr="00326C00">
              <w:rPr>
                <w:i/>
                <w:iCs/>
              </w:rPr>
              <w:t>Erythematosus</w:t>
            </w:r>
            <w:proofErr w:type="spellEnd"/>
            <w:r w:rsidRPr="00326C00">
              <w:rPr>
                <w:i/>
                <w:iCs/>
              </w:rPr>
              <w:t xml:space="preserve">, </w:t>
            </w:r>
            <w:proofErr w:type="spellStart"/>
            <w:r w:rsidRPr="00326C00">
              <w:rPr>
                <w:i/>
                <w:iCs/>
              </w:rPr>
              <w:t>Systemic</w:t>
            </w:r>
            <w:proofErr w:type="spellEnd"/>
            <w:r w:rsidRPr="00326C00">
              <w:rPr>
                <w:i/>
                <w:iCs/>
              </w:rPr>
              <w:t>” AND “</w:t>
            </w:r>
            <w:proofErr w:type="spellStart"/>
            <w:r w:rsidRPr="00326C00">
              <w:rPr>
                <w:i/>
                <w:iCs/>
              </w:rPr>
              <w:t>Anifrolumab</w:t>
            </w:r>
            <w:proofErr w:type="spellEnd"/>
            <w:r w:rsidRPr="00326C00">
              <w:rPr>
                <w:i/>
                <w:iCs/>
              </w:rPr>
              <w:t>” AND “</w:t>
            </w:r>
            <w:proofErr w:type="spellStart"/>
            <w:r w:rsidRPr="00326C00">
              <w:rPr>
                <w:i/>
                <w:iCs/>
              </w:rPr>
              <w:t>Phase</w:t>
            </w:r>
            <w:proofErr w:type="spellEnd"/>
            <w:r w:rsidRPr="00326C00">
              <w:rPr>
                <w:i/>
                <w:iCs/>
              </w:rPr>
              <w:t xml:space="preserve"> 3</w:t>
            </w:r>
            <w:r>
              <w:t xml:space="preserve">”. Dentre os estudos identificados, três ensaios clínicos foram incluídos na análise e já estavam representados em quatro artigos previamente considerados. </w:t>
            </w:r>
          </w:p>
        </w:tc>
      </w:tr>
    </w:tbl>
    <w:p w14:paraId="0C8FE7CE" w14:textId="77777777" w:rsidR="00817793" w:rsidRDefault="00817793">
      <w:pPr>
        <w:rPr>
          <w:smallCaps/>
          <w:highlight w:val="cyan"/>
        </w:rPr>
      </w:pPr>
    </w:p>
    <w:p w14:paraId="7A0FCEC8" w14:textId="77777777" w:rsidR="004E7148" w:rsidRDefault="004E7148">
      <w:pPr>
        <w:rPr>
          <w:smallCaps/>
          <w:highlight w:val="cyan"/>
        </w:rPr>
      </w:pPr>
    </w:p>
    <w:p w14:paraId="0F073503" w14:textId="77777777" w:rsidR="004E7148" w:rsidRDefault="004E7148">
      <w:pPr>
        <w:rPr>
          <w:smallCaps/>
          <w:highlight w:val="cyan"/>
        </w:rPr>
      </w:pPr>
    </w:p>
    <w:p w14:paraId="0ED7FA83" w14:textId="77777777" w:rsidR="004E7148" w:rsidRDefault="004E7148">
      <w:pPr>
        <w:rPr>
          <w:smallCaps/>
          <w:highlight w:val="cyan"/>
        </w:rPr>
      </w:pPr>
    </w:p>
    <w:p w14:paraId="5D7A00F0" w14:textId="77777777" w:rsidR="004E7148" w:rsidRDefault="004E7148">
      <w:pPr>
        <w:rPr>
          <w:smallCaps/>
          <w:highlight w:val="cyan"/>
        </w:rPr>
      </w:pPr>
    </w:p>
    <w:p w14:paraId="4CB80848" w14:textId="77777777" w:rsidR="00817793" w:rsidRDefault="002719FC">
      <w:pPr>
        <w:pStyle w:val="Ttulo2"/>
      </w:pPr>
      <w:bookmarkStart w:id="30" w:name="_4i7ojhp" w:colFirst="0" w:colLast="0"/>
      <w:bookmarkEnd w:id="30"/>
      <w:r>
        <w:t>5.5. Resultados</w:t>
      </w:r>
    </w:p>
    <w:p w14:paraId="5D3E41B3" w14:textId="77777777" w:rsidR="00817793" w:rsidRDefault="002719FC">
      <w:pPr>
        <w:spacing w:line="240" w:lineRule="auto"/>
        <w:rPr>
          <w:b/>
          <w:sz w:val="24"/>
          <w:szCs w:val="24"/>
        </w:rPr>
      </w:pPr>
      <w:r>
        <w:rPr>
          <w:b/>
          <w:sz w:val="24"/>
          <w:szCs w:val="24"/>
        </w:rPr>
        <w:t>5.5.1 Características dos estudos incluídos</w:t>
      </w:r>
    </w:p>
    <w:p w14:paraId="723F694B" w14:textId="77777777" w:rsidR="00817793" w:rsidRDefault="002719FC">
      <w:pPr>
        <w:pStyle w:val="Ttulo4"/>
        <w:spacing w:before="0" w:after="160" w:line="259" w:lineRule="auto"/>
      </w:pPr>
      <w:bookmarkStart w:id="31" w:name="_ckkco4yy27mx" w:colFirst="0" w:colLast="0"/>
      <w:bookmarkEnd w:id="31"/>
      <w:r>
        <w:rPr>
          <w:b/>
        </w:rPr>
        <w:lastRenderedPageBreak/>
        <w:t>Quadro 11.</w:t>
      </w:r>
      <w:r>
        <w:t xml:space="preserve"> Características dos estudos incluídos apresentada pelo PROPONENTE </w:t>
      </w:r>
    </w:p>
    <w:p w14:paraId="41004F19" w14:textId="77777777" w:rsidR="00817793" w:rsidRDefault="002719FC">
      <w:pPr>
        <w:spacing w:before="0" w:after="160" w:line="259" w:lineRule="auto"/>
        <w:jc w:val="center"/>
      </w:pPr>
      <w:r>
        <w:rPr>
          <w:noProof/>
        </w:rPr>
        <w:drawing>
          <wp:inline distT="114300" distB="114300" distL="114300" distR="114300" wp14:anchorId="304860DF" wp14:editId="07777777">
            <wp:extent cx="5762625" cy="1256079"/>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t="9053"/>
                    <a:stretch>
                      <a:fillRect/>
                    </a:stretch>
                  </pic:blipFill>
                  <pic:spPr>
                    <a:xfrm>
                      <a:off x="0" y="0"/>
                      <a:ext cx="5762625" cy="1256079"/>
                    </a:xfrm>
                    <a:prstGeom prst="rect">
                      <a:avLst/>
                    </a:prstGeom>
                    <a:ln/>
                  </pic:spPr>
                </pic:pic>
              </a:graphicData>
            </a:graphic>
          </wp:inline>
        </w:drawing>
      </w:r>
    </w:p>
    <w:p w14:paraId="595D09A3" w14:textId="0E5AC4DB" w:rsidR="004E7148" w:rsidRDefault="002719FC">
      <w:pPr>
        <w:rPr>
          <w:smallCaps/>
        </w:rPr>
      </w:pPr>
      <w:r>
        <w:rPr>
          <w:smallCaps/>
          <w:noProof/>
        </w:rPr>
        <w:drawing>
          <wp:inline distT="114300" distB="114300" distL="114300" distR="114300" wp14:anchorId="419A01BC" wp14:editId="07777777">
            <wp:extent cx="5759140" cy="2997200"/>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759140" cy="2997200"/>
                    </a:xfrm>
                    <a:prstGeom prst="rect">
                      <a:avLst/>
                    </a:prstGeom>
                    <a:ln/>
                  </pic:spPr>
                </pic:pic>
              </a:graphicData>
            </a:graphic>
          </wp:inline>
        </w:drawing>
      </w:r>
    </w:p>
    <w:p w14:paraId="13220C40" w14:textId="77777777" w:rsidR="004E7148" w:rsidRDefault="004E7148">
      <w:pPr>
        <w:rPr>
          <w:smallCaps/>
        </w:rPr>
      </w:pPr>
    </w:p>
    <w:p w14:paraId="0D7A1D66" w14:textId="77777777" w:rsidR="00817793" w:rsidRDefault="002719FC">
      <w:pPr>
        <w:pStyle w:val="Ttulo4"/>
        <w:spacing w:before="0" w:after="160" w:line="259" w:lineRule="auto"/>
      </w:pPr>
      <w:bookmarkStart w:id="32" w:name="_s9o0yj5t3xq2" w:colFirst="0" w:colLast="0"/>
      <w:bookmarkEnd w:id="32"/>
      <w:r>
        <w:rPr>
          <w:b/>
        </w:rPr>
        <w:t>Quadro 12.</w:t>
      </w:r>
      <w:r>
        <w:t xml:space="preserve"> Características dos estudos incluídos na análise do PARECERISTA.</w:t>
      </w:r>
    </w:p>
    <w:tbl>
      <w:tblPr>
        <w:tblStyle w:val="af3"/>
        <w:tblW w:w="9990"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035"/>
        <w:gridCol w:w="1050"/>
        <w:gridCol w:w="930"/>
        <w:gridCol w:w="1365"/>
        <w:gridCol w:w="1245"/>
        <w:gridCol w:w="1260"/>
        <w:gridCol w:w="1605"/>
        <w:gridCol w:w="1500"/>
      </w:tblGrid>
      <w:tr w:rsidR="00817793" w14:paraId="05542B3D" w14:textId="77777777">
        <w:tc>
          <w:tcPr>
            <w:tcW w:w="1035" w:type="dxa"/>
          </w:tcPr>
          <w:p w14:paraId="60E250E2" w14:textId="77777777" w:rsidR="00817793" w:rsidRDefault="002719FC">
            <w:pPr>
              <w:spacing w:before="120" w:after="120"/>
              <w:jc w:val="center"/>
              <w:rPr>
                <w:b/>
                <w:sz w:val="20"/>
                <w:szCs w:val="20"/>
              </w:rPr>
            </w:pPr>
            <w:r>
              <w:rPr>
                <w:b/>
                <w:sz w:val="20"/>
                <w:szCs w:val="20"/>
              </w:rPr>
              <w:t>Estudo (Autor, ano)</w:t>
            </w:r>
          </w:p>
        </w:tc>
        <w:tc>
          <w:tcPr>
            <w:tcW w:w="1050" w:type="dxa"/>
          </w:tcPr>
          <w:p w14:paraId="0C22662B" w14:textId="77777777" w:rsidR="00817793" w:rsidRDefault="002719FC">
            <w:pPr>
              <w:spacing w:before="120" w:after="120"/>
              <w:jc w:val="center"/>
              <w:rPr>
                <w:b/>
                <w:sz w:val="20"/>
                <w:szCs w:val="20"/>
              </w:rPr>
            </w:pPr>
            <w:r>
              <w:rPr>
                <w:b/>
                <w:sz w:val="20"/>
                <w:szCs w:val="20"/>
              </w:rPr>
              <w:t>Pais, cenário</w:t>
            </w:r>
          </w:p>
        </w:tc>
        <w:tc>
          <w:tcPr>
            <w:tcW w:w="930" w:type="dxa"/>
          </w:tcPr>
          <w:p w14:paraId="6A5EA9A2" w14:textId="77777777" w:rsidR="00817793" w:rsidRDefault="002719FC">
            <w:pPr>
              <w:spacing w:before="120" w:after="120"/>
              <w:jc w:val="center"/>
              <w:rPr>
                <w:b/>
                <w:sz w:val="20"/>
                <w:szCs w:val="20"/>
              </w:rPr>
            </w:pPr>
            <w:r>
              <w:rPr>
                <w:b/>
                <w:sz w:val="20"/>
                <w:szCs w:val="20"/>
              </w:rPr>
              <w:t>Desenho</w:t>
            </w:r>
          </w:p>
        </w:tc>
        <w:tc>
          <w:tcPr>
            <w:tcW w:w="1365" w:type="dxa"/>
          </w:tcPr>
          <w:p w14:paraId="5DAF6E84" w14:textId="77777777" w:rsidR="00817793" w:rsidRDefault="002719FC">
            <w:pPr>
              <w:spacing w:before="120" w:after="120"/>
              <w:jc w:val="center"/>
              <w:rPr>
                <w:b/>
                <w:sz w:val="20"/>
                <w:szCs w:val="20"/>
              </w:rPr>
            </w:pPr>
            <w:r>
              <w:rPr>
                <w:b/>
                <w:sz w:val="20"/>
                <w:szCs w:val="20"/>
              </w:rPr>
              <w:t>População (n)</w:t>
            </w:r>
          </w:p>
        </w:tc>
        <w:tc>
          <w:tcPr>
            <w:tcW w:w="1245" w:type="dxa"/>
          </w:tcPr>
          <w:p w14:paraId="42A62F09" w14:textId="77777777" w:rsidR="00817793" w:rsidRDefault="002719FC">
            <w:pPr>
              <w:spacing w:before="120" w:after="120"/>
              <w:jc w:val="center"/>
              <w:rPr>
                <w:b/>
                <w:sz w:val="20"/>
                <w:szCs w:val="20"/>
              </w:rPr>
            </w:pPr>
            <w:r>
              <w:rPr>
                <w:b/>
                <w:sz w:val="20"/>
                <w:szCs w:val="20"/>
              </w:rPr>
              <w:t>Intervenção</w:t>
            </w:r>
          </w:p>
        </w:tc>
        <w:tc>
          <w:tcPr>
            <w:tcW w:w="1260" w:type="dxa"/>
          </w:tcPr>
          <w:p w14:paraId="429C3B57" w14:textId="77777777" w:rsidR="00817793" w:rsidRDefault="002719FC">
            <w:pPr>
              <w:spacing w:before="120" w:after="120"/>
              <w:jc w:val="center"/>
              <w:rPr>
                <w:b/>
                <w:sz w:val="20"/>
                <w:szCs w:val="20"/>
              </w:rPr>
            </w:pPr>
            <w:r>
              <w:rPr>
                <w:b/>
                <w:sz w:val="20"/>
                <w:szCs w:val="20"/>
              </w:rPr>
              <w:t>Comparador</w:t>
            </w:r>
          </w:p>
        </w:tc>
        <w:tc>
          <w:tcPr>
            <w:tcW w:w="1605" w:type="dxa"/>
          </w:tcPr>
          <w:p w14:paraId="102FE545" w14:textId="77777777" w:rsidR="00817793" w:rsidRDefault="002719FC">
            <w:pPr>
              <w:spacing w:before="120" w:after="120"/>
              <w:jc w:val="center"/>
              <w:rPr>
                <w:b/>
                <w:sz w:val="20"/>
                <w:szCs w:val="20"/>
              </w:rPr>
            </w:pPr>
            <w:r>
              <w:rPr>
                <w:b/>
                <w:sz w:val="20"/>
                <w:szCs w:val="20"/>
              </w:rPr>
              <w:t>Desfechos e time point de avaliação</w:t>
            </w:r>
          </w:p>
        </w:tc>
        <w:tc>
          <w:tcPr>
            <w:tcW w:w="1500" w:type="dxa"/>
          </w:tcPr>
          <w:p w14:paraId="23EB53B1" w14:textId="77777777" w:rsidR="00817793" w:rsidRDefault="002719FC">
            <w:pPr>
              <w:spacing w:before="120" w:after="120"/>
              <w:jc w:val="center"/>
              <w:rPr>
                <w:b/>
                <w:sz w:val="20"/>
                <w:szCs w:val="20"/>
              </w:rPr>
            </w:pPr>
            <w:r>
              <w:rPr>
                <w:b/>
                <w:sz w:val="20"/>
                <w:szCs w:val="20"/>
              </w:rPr>
              <w:t>Financiamento</w:t>
            </w:r>
          </w:p>
        </w:tc>
      </w:tr>
      <w:tr w:rsidR="00817793" w14:paraId="15D37D55" w14:textId="77777777">
        <w:trPr>
          <w:trHeight w:val="2113"/>
        </w:trPr>
        <w:tc>
          <w:tcPr>
            <w:tcW w:w="1035" w:type="dxa"/>
          </w:tcPr>
          <w:p w14:paraId="00A04759" w14:textId="77777777" w:rsidR="00817793" w:rsidRDefault="002719FC">
            <w:pPr>
              <w:spacing w:before="120" w:after="120"/>
              <w:jc w:val="center"/>
              <w:rPr>
                <w:sz w:val="20"/>
                <w:szCs w:val="20"/>
              </w:rPr>
            </w:pPr>
            <w:proofErr w:type="spellStart"/>
            <w:r>
              <w:rPr>
                <w:sz w:val="20"/>
                <w:szCs w:val="20"/>
              </w:rPr>
              <w:t>Furie</w:t>
            </w:r>
            <w:proofErr w:type="spellEnd"/>
            <w:r>
              <w:rPr>
                <w:sz w:val="20"/>
                <w:szCs w:val="20"/>
              </w:rPr>
              <w:t xml:space="preserve"> et al. (2019)</w:t>
            </w:r>
          </w:p>
          <w:p w14:paraId="76B4BF15" w14:textId="77777777" w:rsidR="00817793" w:rsidRDefault="002719FC">
            <w:pPr>
              <w:spacing w:before="120" w:after="120"/>
              <w:jc w:val="center"/>
              <w:rPr>
                <w:sz w:val="20"/>
                <w:szCs w:val="20"/>
              </w:rPr>
            </w:pPr>
            <w:r>
              <w:rPr>
                <w:sz w:val="20"/>
                <w:szCs w:val="20"/>
              </w:rPr>
              <w:t>TULIP-1</w:t>
            </w:r>
          </w:p>
        </w:tc>
        <w:tc>
          <w:tcPr>
            <w:tcW w:w="1050" w:type="dxa"/>
          </w:tcPr>
          <w:p w14:paraId="6EFAF428" w14:textId="77777777" w:rsidR="00817793" w:rsidRDefault="002719FC">
            <w:pPr>
              <w:spacing w:before="120" w:after="120"/>
              <w:jc w:val="center"/>
              <w:rPr>
                <w:sz w:val="20"/>
                <w:szCs w:val="20"/>
              </w:rPr>
            </w:pPr>
            <w:r>
              <w:rPr>
                <w:sz w:val="20"/>
                <w:szCs w:val="20"/>
              </w:rPr>
              <w:t xml:space="preserve">Multicêntrico </w:t>
            </w:r>
          </w:p>
        </w:tc>
        <w:tc>
          <w:tcPr>
            <w:tcW w:w="930" w:type="dxa"/>
          </w:tcPr>
          <w:p w14:paraId="6775933F" w14:textId="77777777" w:rsidR="00817793" w:rsidRDefault="002719FC">
            <w:pPr>
              <w:spacing w:before="120" w:after="120"/>
              <w:jc w:val="center"/>
              <w:rPr>
                <w:sz w:val="20"/>
                <w:szCs w:val="20"/>
              </w:rPr>
            </w:pPr>
            <w:r>
              <w:rPr>
                <w:sz w:val="20"/>
                <w:szCs w:val="20"/>
              </w:rPr>
              <w:t>ECR</w:t>
            </w:r>
          </w:p>
        </w:tc>
        <w:tc>
          <w:tcPr>
            <w:tcW w:w="1365" w:type="dxa"/>
          </w:tcPr>
          <w:p w14:paraId="65EB6BC0" w14:textId="77777777" w:rsidR="00817793" w:rsidRDefault="002719FC">
            <w:pPr>
              <w:spacing w:before="120" w:after="120"/>
              <w:jc w:val="center"/>
              <w:rPr>
                <w:sz w:val="20"/>
                <w:szCs w:val="20"/>
              </w:rPr>
            </w:pPr>
            <w:r>
              <w:rPr>
                <w:sz w:val="20"/>
                <w:szCs w:val="20"/>
              </w:rPr>
              <w:t>Pacientes com LES ativo (n=457)</w:t>
            </w:r>
          </w:p>
        </w:tc>
        <w:tc>
          <w:tcPr>
            <w:tcW w:w="1245" w:type="dxa"/>
          </w:tcPr>
          <w:p w14:paraId="15F2059C" w14:textId="79F3FDDA"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150 mg (n=93) </w:t>
            </w:r>
          </w:p>
          <w:p w14:paraId="61A9A937" w14:textId="77777777" w:rsidR="00817793" w:rsidRDefault="002719FC">
            <w:pPr>
              <w:spacing w:before="120" w:after="120"/>
              <w:jc w:val="center"/>
              <w:rPr>
                <w:sz w:val="20"/>
                <w:szCs w:val="20"/>
              </w:rPr>
            </w:pPr>
            <w:r>
              <w:rPr>
                <w:sz w:val="20"/>
                <w:szCs w:val="20"/>
              </w:rPr>
              <w:t xml:space="preserve">ou </w:t>
            </w:r>
          </w:p>
          <w:p w14:paraId="0839D387" w14:textId="77777777" w:rsidR="00817793" w:rsidRDefault="002719FC">
            <w:pPr>
              <w:spacing w:before="120" w:after="120"/>
              <w:jc w:val="center"/>
              <w:rPr>
                <w:sz w:val="20"/>
                <w:szCs w:val="20"/>
              </w:rPr>
            </w:pPr>
            <w:r>
              <w:rPr>
                <w:sz w:val="20"/>
                <w:szCs w:val="20"/>
              </w:rPr>
              <w:t xml:space="preserve">300 mg, (n=180) </w:t>
            </w:r>
          </w:p>
          <w:p w14:paraId="09463F37" w14:textId="77777777" w:rsidR="00817793" w:rsidRDefault="002719FC">
            <w:pPr>
              <w:spacing w:before="120" w:after="120"/>
              <w:jc w:val="center"/>
              <w:rPr>
                <w:sz w:val="20"/>
                <w:szCs w:val="20"/>
              </w:rPr>
            </w:pPr>
            <w:r>
              <w:rPr>
                <w:sz w:val="20"/>
                <w:szCs w:val="20"/>
              </w:rPr>
              <w:lastRenderedPageBreak/>
              <w:t xml:space="preserve">administrados por via intravenosa a cada 4 semanas durante 48 semanas + tratamento </w:t>
            </w:r>
            <w:proofErr w:type="gramStart"/>
            <w:r>
              <w:rPr>
                <w:sz w:val="20"/>
                <w:szCs w:val="20"/>
              </w:rPr>
              <w:t>padrão(</w:t>
            </w:r>
            <w:proofErr w:type="gramEnd"/>
            <w:r>
              <w:rPr>
                <w:sz w:val="20"/>
                <w:szCs w:val="20"/>
              </w:rPr>
              <w:t>*)</w:t>
            </w:r>
          </w:p>
        </w:tc>
        <w:tc>
          <w:tcPr>
            <w:tcW w:w="1260" w:type="dxa"/>
          </w:tcPr>
          <w:p w14:paraId="3C2D9C4A" w14:textId="77777777" w:rsidR="00817793" w:rsidRDefault="002719FC">
            <w:pPr>
              <w:spacing w:before="120" w:after="120"/>
              <w:jc w:val="center"/>
              <w:rPr>
                <w:sz w:val="20"/>
                <w:szCs w:val="20"/>
              </w:rPr>
            </w:pPr>
            <w:r>
              <w:rPr>
                <w:sz w:val="20"/>
                <w:szCs w:val="20"/>
              </w:rPr>
              <w:lastRenderedPageBreak/>
              <w:t xml:space="preserve">placebo + terapia </w:t>
            </w:r>
            <w:proofErr w:type="gramStart"/>
            <w:r>
              <w:rPr>
                <w:sz w:val="20"/>
                <w:szCs w:val="20"/>
              </w:rPr>
              <w:t>padrão(</w:t>
            </w:r>
            <w:proofErr w:type="gramEnd"/>
            <w:r>
              <w:rPr>
                <w:sz w:val="20"/>
                <w:szCs w:val="20"/>
              </w:rPr>
              <w:t xml:space="preserve">*) administrados por via intravenosa a cada 4 semanas durante 48 </w:t>
            </w:r>
            <w:r>
              <w:rPr>
                <w:sz w:val="20"/>
                <w:szCs w:val="20"/>
              </w:rPr>
              <w:lastRenderedPageBreak/>
              <w:t xml:space="preserve">semanas + tratamento </w:t>
            </w:r>
            <w:proofErr w:type="gramStart"/>
            <w:r>
              <w:rPr>
                <w:sz w:val="20"/>
                <w:szCs w:val="20"/>
              </w:rPr>
              <w:t>padrão(</w:t>
            </w:r>
            <w:proofErr w:type="gramEnd"/>
            <w:r>
              <w:rPr>
                <w:sz w:val="20"/>
                <w:szCs w:val="20"/>
              </w:rPr>
              <w:t>*)</w:t>
            </w:r>
          </w:p>
          <w:p w14:paraId="100A81A2" w14:textId="77777777" w:rsidR="00817793" w:rsidRDefault="002719FC">
            <w:pPr>
              <w:spacing w:before="120" w:after="120"/>
              <w:jc w:val="center"/>
              <w:rPr>
                <w:sz w:val="20"/>
                <w:szCs w:val="20"/>
              </w:rPr>
            </w:pPr>
            <w:r>
              <w:rPr>
                <w:sz w:val="20"/>
                <w:szCs w:val="20"/>
              </w:rPr>
              <w:t>(n=184)</w:t>
            </w:r>
          </w:p>
        </w:tc>
        <w:tc>
          <w:tcPr>
            <w:tcW w:w="1605" w:type="dxa"/>
          </w:tcPr>
          <w:p w14:paraId="32E2E3D0" w14:textId="77777777" w:rsidR="00817793" w:rsidRDefault="002719FC">
            <w:pPr>
              <w:spacing w:before="120" w:after="120"/>
              <w:jc w:val="center"/>
              <w:rPr>
                <w:sz w:val="20"/>
                <w:szCs w:val="20"/>
              </w:rPr>
            </w:pPr>
            <w:r>
              <w:rPr>
                <w:sz w:val="20"/>
                <w:szCs w:val="20"/>
                <w:u w:val="single"/>
              </w:rPr>
              <w:lastRenderedPageBreak/>
              <w:t xml:space="preserve">Desfecho Primário: </w:t>
            </w:r>
            <w:r>
              <w:rPr>
                <w:sz w:val="20"/>
                <w:szCs w:val="20"/>
              </w:rPr>
              <w:t xml:space="preserve">Proporção de pacientes com resposta no índice SLE Responder </w:t>
            </w:r>
            <w:r>
              <w:rPr>
                <w:sz w:val="20"/>
                <w:szCs w:val="20"/>
              </w:rPr>
              <w:lastRenderedPageBreak/>
              <w:t xml:space="preserve">Index-4 (SRI-4) na semana 52. </w:t>
            </w:r>
          </w:p>
          <w:p w14:paraId="6B521529" w14:textId="77777777" w:rsidR="00817793" w:rsidRDefault="002719FC">
            <w:pPr>
              <w:spacing w:before="120" w:after="120"/>
              <w:jc w:val="center"/>
              <w:rPr>
                <w:sz w:val="20"/>
                <w:szCs w:val="20"/>
              </w:rPr>
            </w:pPr>
            <w:r>
              <w:rPr>
                <w:sz w:val="20"/>
                <w:szCs w:val="20"/>
                <w:u w:val="single"/>
              </w:rPr>
              <w:t>Desfechos Secundários Importantes:</w:t>
            </w:r>
            <w:r>
              <w:rPr>
                <w:sz w:val="20"/>
                <w:szCs w:val="20"/>
              </w:rPr>
              <w:t xml:space="preserve"> redução sustentada de corticosteroides, melhora de manifestações cutâneas (índice CLASI), redução na taxa de surtos (</w:t>
            </w:r>
            <w:proofErr w:type="spellStart"/>
            <w:r>
              <w:rPr>
                <w:sz w:val="20"/>
                <w:szCs w:val="20"/>
              </w:rPr>
              <w:t>flare</w:t>
            </w:r>
            <w:proofErr w:type="spellEnd"/>
            <w:r>
              <w:rPr>
                <w:sz w:val="20"/>
                <w:szCs w:val="20"/>
              </w:rPr>
              <w:t xml:space="preserve"> rate) e resposta no índice BICLA, eventos adversos.</w:t>
            </w:r>
          </w:p>
        </w:tc>
        <w:tc>
          <w:tcPr>
            <w:tcW w:w="1500" w:type="dxa"/>
          </w:tcPr>
          <w:p w14:paraId="584B52FF" w14:textId="77777777" w:rsidR="00817793" w:rsidRDefault="002719FC">
            <w:pPr>
              <w:spacing w:before="120" w:after="120"/>
              <w:jc w:val="center"/>
              <w:rPr>
                <w:sz w:val="20"/>
                <w:szCs w:val="20"/>
              </w:rPr>
            </w:pPr>
            <w:r>
              <w:rPr>
                <w:sz w:val="20"/>
                <w:szCs w:val="20"/>
              </w:rPr>
              <w:lastRenderedPageBreak/>
              <w:t>AstraZeneca</w:t>
            </w:r>
          </w:p>
        </w:tc>
      </w:tr>
      <w:tr w:rsidR="00817793" w14:paraId="444F0BCE" w14:textId="77777777">
        <w:trPr>
          <w:trHeight w:val="2113"/>
        </w:trPr>
        <w:tc>
          <w:tcPr>
            <w:tcW w:w="1035" w:type="dxa"/>
          </w:tcPr>
          <w:p w14:paraId="236E03D5" w14:textId="77777777" w:rsidR="00817793" w:rsidRDefault="002719FC">
            <w:pPr>
              <w:spacing w:before="120" w:after="120"/>
              <w:jc w:val="center"/>
              <w:rPr>
                <w:sz w:val="20"/>
                <w:szCs w:val="20"/>
              </w:rPr>
            </w:pPr>
            <w:r>
              <w:rPr>
                <w:sz w:val="20"/>
                <w:szCs w:val="20"/>
              </w:rPr>
              <w:t>Morand et al. (2020)</w:t>
            </w:r>
          </w:p>
          <w:p w14:paraId="21D0272F" w14:textId="77777777" w:rsidR="00817793" w:rsidRDefault="002719FC">
            <w:pPr>
              <w:spacing w:before="120" w:after="120"/>
              <w:jc w:val="center"/>
              <w:rPr>
                <w:sz w:val="20"/>
                <w:szCs w:val="20"/>
              </w:rPr>
            </w:pPr>
            <w:r>
              <w:rPr>
                <w:sz w:val="20"/>
                <w:szCs w:val="20"/>
              </w:rPr>
              <w:t>TULIP-2</w:t>
            </w:r>
          </w:p>
        </w:tc>
        <w:tc>
          <w:tcPr>
            <w:tcW w:w="1050" w:type="dxa"/>
          </w:tcPr>
          <w:p w14:paraId="42553F78" w14:textId="77777777" w:rsidR="00817793" w:rsidRDefault="002719FC">
            <w:pPr>
              <w:spacing w:before="120" w:after="120"/>
              <w:jc w:val="center"/>
              <w:rPr>
                <w:sz w:val="20"/>
                <w:szCs w:val="20"/>
              </w:rPr>
            </w:pPr>
            <w:r>
              <w:rPr>
                <w:sz w:val="20"/>
                <w:szCs w:val="20"/>
              </w:rPr>
              <w:t>Multicêntrico</w:t>
            </w:r>
          </w:p>
        </w:tc>
        <w:tc>
          <w:tcPr>
            <w:tcW w:w="930" w:type="dxa"/>
          </w:tcPr>
          <w:p w14:paraId="0C3A92D2" w14:textId="77777777" w:rsidR="00817793" w:rsidRDefault="002719FC">
            <w:pPr>
              <w:spacing w:before="120" w:after="120"/>
              <w:jc w:val="center"/>
              <w:rPr>
                <w:sz w:val="20"/>
                <w:szCs w:val="20"/>
              </w:rPr>
            </w:pPr>
            <w:r>
              <w:rPr>
                <w:sz w:val="20"/>
                <w:szCs w:val="20"/>
              </w:rPr>
              <w:t>ECR</w:t>
            </w:r>
          </w:p>
        </w:tc>
        <w:tc>
          <w:tcPr>
            <w:tcW w:w="1365" w:type="dxa"/>
          </w:tcPr>
          <w:p w14:paraId="6ACA28C6" w14:textId="77777777" w:rsidR="00817793" w:rsidRDefault="002719FC">
            <w:pPr>
              <w:spacing w:before="120" w:after="120"/>
              <w:jc w:val="center"/>
              <w:rPr>
                <w:sz w:val="20"/>
                <w:szCs w:val="20"/>
              </w:rPr>
            </w:pPr>
            <w:r>
              <w:rPr>
                <w:sz w:val="20"/>
                <w:szCs w:val="20"/>
              </w:rPr>
              <w:t>Pacientes LES (n=362)</w:t>
            </w:r>
          </w:p>
        </w:tc>
        <w:tc>
          <w:tcPr>
            <w:tcW w:w="1245" w:type="dxa"/>
          </w:tcPr>
          <w:p w14:paraId="0E86CABA"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 mg) a cada 4 semanas durante 48 semanas</w:t>
            </w:r>
          </w:p>
          <w:p w14:paraId="0B4391D7" w14:textId="77777777" w:rsidR="00817793" w:rsidRDefault="002719FC">
            <w:pPr>
              <w:spacing w:before="120" w:after="120"/>
              <w:jc w:val="center"/>
              <w:rPr>
                <w:sz w:val="20"/>
                <w:szCs w:val="20"/>
              </w:rPr>
            </w:pPr>
            <w:r>
              <w:rPr>
                <w:sz w:val="20"/>
                <w:szCs w:val="20"/>
              </w:rPr>
              <w:t>(n=180)</w:t>
            </w:r>
          </w:p>
        </w:tc>
        <w:tc>
          <w:tcPr>
            <w:tcW w:w="1260" w:type="dxa"/>
          </w:tcPr>
          <w:p w14:paraId="4CD92D24" w14:textId="64E07C49"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 a cada 4 semanas durante 48 semanas</w:t>
            </w:r>
          </w:p>
          <w:p w14:paraId="4E4C2B32" w14:textId="77777777" w:rsidR="00817793" w:rsidRDefault="002719FC">
            <w:pPr>
              <w:spacing w:before="120" w:after="120"/>
              <w:jc w:val="center"/>
              <w:rPr>
                <w:sz w:val="20"/>
                <w:szCs w:val="20"/>
              </w:rPr>
            </w:pPr>
            <w:r>
              <w:rPr>
                <w:sz w:val="20"/>
                <w:szCs w:val="20"/>
              </w:rPr>
              <w:t>(n=182)</w:t>
            </w:r>
          </w:p>
        </w:tc>
        <w:tc>
          <w:tcPr>
            <w:tcW w:w="1605" w:type="dxa"/>
          </w:tcPr>
          <w:p w14:paraId="5B2BFA10" w14:textId="77777777" w:rsidR="00817793" w:rsidRDefault="002719FC">
            <w:pPr>
              <w:spacing w:before="120" w:after="120"/>
              <w:jc w:val="center"/>
              <w:rPr>
                <w:sz w:val="20"/>
                <w:szCs w:val="20"/>
              </w:rPr>
            </w:pPr>
            <w:r>
              <w:rPr>
                <w:sz w:val="20"/>
                <w:szCs w:val="20"/>
                <w:u w:val="single"/>
              </w:rPr>
              <w:t xml:space="preserve">Desfecho Primário: </w:t>
            </w:r>
          </w:p>
          <w:p w14:paraId="6C3338CD" w14:textId="205E8351" w:rsidR="00817793" w:rsidRDefault="002719FC">
            <w:pPr>
              <w:spacing w:before="120" w:after="120"/>
              <w:jc w:val="center"/>
              <w:rPr>
                <w:sz w:val="20"/>
                <w:szCs w:val="20"/>
              </w:rPr>
            </w:pPr>
            <w:r>
              <w:rPr>
                <w:sz w:val="20"/>
                <w:szCs w:val="20"/>
              </w:rPr>
              <w:t xml:space="preserve">Resposta no índice BICLA na semana 52. </w:t>
            </w:r>
          </w:p>
          <w:p w14:paraId="5D10C243" w14:textId="1C3CA574" w:rsidR="00817793" w:rsidRDefault="002719FC">
            <w:pPr>
              <w:spacing w:before="120" w:after="120"/>
              <w:jc w:val="center"/>
              <w:rPr>
                <w:sz w:val="20"/>
                <w:szCs w:val="20"/>
                <w:u w:val="single"/>
              </w:rPr>
            </w:pPr>
            <w:r>
              <w:rPr>
                <w:sz w:val="20"/>
                <w:szCs w:val="20"/>
                <w:u w:val="single"/>
              </w:rPr>
              <w:t>Desfechos Secundários Importantes:</w:t>
            </w:r>
            <w:r>
              <w:rPr>
                <w:sz w:val="20"/>
                <w:szCs w:val="20"/>
              </w:rPr>
              <w:t xml:space="preserve"> redução sustentada de corticosteroides, melhora de manifestações cutâneas (índice CLASI), resposta no índice BICLA. em pacientes com alta assinatura gênica de interferon, contagem de articulações inchadas ou doloridas na taxa de surtos anuais</w:t>
            </w:r>
            <w:r w:rsidR="004E7148">
              <w:rPr>
                <w:sz w:val="20"/>
                <w:szCs w:val="20"/>
              </w:rPr>
              <w:t>.</w:t>
            </w:r>
          </w:p>
        </w:tc>
        <w:tc>
          <w:tcPr>
            <w:tcW w:w="1500" w:type="dxa"/>
          </w:tcPr>
          <w:p w14:paraId="2221375F" w14:textId="77777777" w:rsidR="00817793" w:rsidRDefault="002719FC">
            <w:pPr>
              <w:spacing w:before="120" w:after="120"/>
              <w:jc w:val="center"/>
              <w:rPr>
                <w:sz w:val="20"/>
                <w:szCs w:val="20"/>
              </w:rPr>
            </w:pPr>
            <w:r>
              <w:rPr>
                <w:sz w:val="20"/>
                <w:szCs w:val="20"/>
              </w:rPr>
              <w:t>AstraZeneca</w:t>
            </w:r>
          </w:p>
        </w:tc>
      </w:tr>
      <w:tr w:rsidR="00817793" w14:paraId="5DD581C8" w14:textId="77777777">
        <w:trPr>
          <w:trHeight w:val="2113"/>
        </w:trPr>
        <w:tc>
          <w:tcPr>
            <w:tcW w:w="1035" w:type="dxa"/>
          </w:tcPr>
          <w:p w14:paraId="0BEE8588" w14:textId="77777777" w:rsidR="00817793" w:rsidRPr="00B47CA5" w:rsidRDefault="002719FC">
            <w:pPr>
              <w:spacing w:before="120" w:after="120"/>
              <w:jc w:val="center"/>
              <w:rPr>
                <w:sz w:val="20"/>
                <w:szCs w:val="20"/>
                <w:lang w:val="de-DE"/>
              </w:rPr>
            </w:pPr>
            <w:r w:rsidRPr="00B47CA5">
              <w:rPr>
                <w:sz w:val="20"/>
                <w:szCs w:val="20"/>
                <w:lang w:val="de-DE"/>
              </w:rPr>
              <w:lastRenderedPageBreak/>
              <w:t>Kalunian et al. (2023)</w:t>
            </w:r>
          </w:p>
          <w:p w14:paraId="56073752" w14:textId="77777777" w:rsidR="00817793" w:rsidRPr="00B47CA5" w:rsidRDefault="002719FC">
            <w:pPr>
              <w:spacing w:before="120" w:after="120"/>
              <w:jc w:val="center"/>
              <w:rPr>
                <w:sz w:val="20"/>
                <w:szCs w:val="20"/>
                <w:lang w:val="de-DE"/>
              </w:rPr>
            </w:pPr>
            <w:r w:rsidRPr="00B47CA5">
              <w:rPr>
                <w:sz w:val="20"/>
                <w:szCs w:val="20"/>
                <w:lang w:val="de-DE"/>
              </w:rPr>
              <w:t>TULIP-LTE</w:t>
            </w:r>
          </w:p>
        </w:tc>
        <w:tc>
          <w:tcPr>
            <w:tcW w:w="1050" w:type="dxa"/>
          </w:tcPr>
          <w:p w14:paraId="130FA124" w14:textId="77777777" w:rsidR="00817793" w:rsidRDefault="002719FC">
            <w:pPr>
              <w:spacing w:before="120" w:after="120"/>
              <w:jc w:val="center"/>
              <w:rPr>
                <w:sz w:val="20"/>
                <w:szCs w:val="20"/>
              </w:rPr>
            </w:pPr>
            <w:r>
              <w:rPr>
                <w:sz w:val="20"/>
                <w:szCs w:val="20"/>
              </w:rPr>
              <w:t>Multicêntrico</w:t>
            </w:r>
          </w:p>
        </w:tc>
        <w:tc>
          <w:tcPr>
            <w:tcW w:w="930" w:type="dxa"/>
          </w:tcPr>
          <w:p w14:paraId="4C5D63DD" w14:textId="77777777" w:rsidR="00817793" w:rsidRDefault="002719FC">
            <w:pPr>
              <w:spacing w:before="120" w:after="120"/>
              <w:jc w:val="center"/>
              <w:rPr>
                <w:sz w:val="20"/>
                <w:szCs w:val="20"/>
              </w:rPr>
            </w:pPr>
            <w:r>
              <w:rPr>
                <w:sz w:val="20"/>
                <w:szCs w:val="20"/>
              </w:rPr>
              <w:t>ECR</w:t>
            </w:r>
          </w:p>
        </w:tc>
        <w:tc>
          <w:tcPr>
            <w:tcW w:w="1365" w:type="dxa"/>
          </w:tcPr>
          <w:p w14:paraId="70DAA1C9" w14:textId="77777777" w:rsidR="00817793" w:rsidRDefault="002719FC">
            <w:pPr>
              <w:spacing w:before="120" w:after="120"/>
              <w:jc w:val="center"/>
              <w:rPr>
                <w:sz w:val="20"/>
                <w:szCs w:val="20"/>
              </w:rPr>
            </w:pPr>
            <w:r>
              <w:rPr>
                <w:sz w:val="20"/>
                <w:szCs w:val="20"/>
              </w:rPr>
              <w:t>Pacientes (LES) moderado a grave que completaram os estudos TULIP-1 e TULIP-2</w:t>
            </w:r>
          </w:p>
          <w:p w14:paraId="0ADB9D29" w14:textId="77777777" w:rsidR="00817793" w:rsidRDefault="002719FC">
            <w:pPr>
              <w:spacing w:before="120" w:after="120"/>
              <w:jc w:val="center"/>
              <w:rPr>
                <w:sz w:val="20"/>
                <w:szCs w:val="20"/>
              </w:rPr>
            </w:pPr>
            <w:r>
              <w:rPr>
                <w:sz w:val="20"/>
                <w:szCs w:val="20"/>
              </w:rPr>
              <w:t>(n=547)</w:t>
            </w:r>
          </w:p>
        </w:tc>
        <w:tc>
          <w:tcPr>
            <w:tcW w:w="1245" w:type="dxa"/>
          </w:tcPr>
          <w:p w14:paraId="66E2B203"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 mg</w:t>
            </w:r>
          </w:p>
          <w:p w14:paraId="0383A9CC" w14:textId="77777777" w:rsidR="00817793" w:rsidRDefault="002719FC">
            <w:pPr>
              <w:spacing w:before="120" w:after="120"/>
              <w:jc w:val="center"/>
              <w:rPr>
                <w:sz w:val="20"/>
                <w:szCs w:val="20"/>
              </w:rPr>
            </w:pPr>
            <w:r>
              <w:rPr>
                <w:sz w:val="20"/>
                <w:szCs w:val="20"/>
              </w:rPr>
              <w:t>(n=257)</w:t>
            </w:r>
          </w:p>
          <w:p w14:paraId="079983C1" w14:textId="77777777" w:rsidR="00817793" w:rsidRDefault="002719FC">
            <w:pPr>
              <w:spacing w:before="120" w:after="120"/>
              <w:jc w:val="center"/>
              <w:rPr>
                <w:sz w:val="20"/>
                <w:szCs w:val="20"/>
              </w:rPr>
            </w:pPr>
            <w:r>
              <w:rPr>
                <w:sz w:val="20"/>
                <w:szCs w:val="20"/>
              </w:rPr>
              <w:t xml:space="preserve">Pacientes que mudaram de placebo para </w:t>
            </w:r>
            <w:proofErr w:type="spellStart"/>
            <w:r>
              <w:rPr>
                <w:sz w:val="20"/>
                <w:szCs w:val="20"/>
              </w:rPr>
              <w:t>anifrolumabe</w:t>
            </w:r>
            <w:proofErr w:type="spellEnd"/>
            <w:r>
              <w:rPr>
                <w:sz w:val="20"/>
                <w:szCs w:val="20"/>
              </w:rPr>
              <w:t xml:space="preserve"> 300 mg</w:t>
            </w:r>
          </w:p>
          <w:p w14:paraId="5FD3FA16" w14:textId="77777777" w:rsidR="00817793" w:rsidRDefault="002719FC">
            <w:pPr>
              <w:spacing w:before="120" w:after="120"/>
              <w:jc w:val="center"/>
              <w:rPr>
                <w:sz w:val="20"/>
                <w:szCs w:val="20"/>
              </w:rPr>
            </w:pPr>
            <w:r>
              <w:rPr>
                <w:sz w:val="20"/>
                <w:szCs w:val="20"/>
              </w:rPr>
              <w:t>(n=67)</w:t>
            </w:r>
          </w:p>
        </w:tc>
        <w:tc>
          <w:tcPr>
            <w:tcW w:w="1260" w:type="dxa"/>
          </w:tcPr>
          <w:p w14:paraId="1005E1D7" w14:textId="130CEFC3"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2F2D8288" w14:textId="77777777" w:rsidR="00817793" w:rsidRDefault="002719FC">
            <w:pPr>
              <w:spacing w:before="120" w:after="120"/>
              <w:jc w:val="center"/>
              <w:rPr>
                <w:sz w:val="20"/>
                <w:szCs w:val="20"/>
              </w:rPr>
            </w:pPr>
            <w:r>
              <w:rPr>
                <w:sz w:val="20"/>
                <w:szCs w:val="20"/>
              </w:rPr>
              <w:t>(n=112)</w:t>
            </w:r>
          </w:p>
        </w:tc>
        <w:tc>
          <w:tcPr>
            <w:tcW w:w="1605" w:type="dxa"/>
          </w:tcPr>
          <w:p w14:paraId="75746A5A" w14:textId="77777777" w:rsidR="00817793" w:rsidRDefault="002719FC">
            <w:pPr>
              <w:spacing w:before="120" w:after="120"/>
              <w:jc w:val="center"/>
              <w:rPr>
                <w:sz w:val="20"/>
                <w:szCs w:val="20"/>
              </w:rPr>
            </w:pPr>
            <w:r>
              <w:rPr>
                <w:sz w:val="20"/>
                <w:szCs w:val="20"/>
                <w:u w:val="single"/>
              </w:rPr>
              <w:t>Desfecho primário:</w:t>
            </w:r>
          </w:p>
          <w:p w14:paraId="6F57C7F8" w14:textId="77777777" w:rsidR="00817793" w:rsidRDefault="002719FC">
            <w:pPr>
              <w:spacing w:before="120" w:after="120"/>
              <w:jc w:val="center"/>
              <w:rPr>
                <w:sz w:val="20"/>
                <w:szCs w:val="20"/>
              </w:rPr>
            </w:pPr>
            <w:r>
              <w:rPr>
                <w:sz w:val="20"/>
                <w:szCs w:val="20"/>
              </w:rPr>
              <w:t>Objetivo Primário: Segurança a longo prazo, incluindo eventos adversos (</w:t>
            </w:r>
            <w:proofErr w:type="spellStart"/>
            <w:r>
              <w:rPr>
                <w:sz w:val="20"/>
                <w:szCs w:val="20"/>
              </w:rPr>
              <w:t>AEs</w:t>
            </w:r>
            <w:proofErr w:type="spellEnd"/>
            <w:r>
              <w:rPr>
                <w:sz w:val="20"/>
                <w:szCs w:val="20"/>
              </w:rPr>
              <w:t>), eventos adversos graves (</w:t>
            </w:r>
            <w:proofErr w:type="spellStart"/>
            <w:r>
              <w:rPr>
                <w:sz w:val="20"/>
                <w:szCs w:val="20"/>
              </w:rPr>
              <w:t>SAEs</w:t>
            </w:r>
            <w:proofErr w:type="spellEnd"/>
            <w:r>
              <w:rPr>
                <w:sz w:val="20"/>
                <w:szCs w:val="20"/>
              </w:rPr>
              <w:t>) e eventos adversos de interesse especial (</w:t>
            </w:r>
            <w:proofErr w:type="spellStart"/>
            <w:r>
              <w:rPr>
                <w:sz w:val="20"/>
                <w:szCs w:val="20"/>
              </w:rPr>
              <w:t>AESIs</w:t>
            </w:r>
            <w:proofErr w:type="spellEnd"/>
            <w:r>
              <w:rPr>
                <w:sz w:val="20"/>
                <w:szCs w:val="20"/>
              </w:rPr>
              <w:t>)</w:t>
            </w:r>
          </w:p>
          <w:p w14:paraId="4C2DF646" w14:textId="77777777" w:rsidR="00817793" w:rsidRDefault="002719FC">
            <w:pPr>
              <w:spacing w:before="120" w:after="120"/>
              <w:jc w:val="center"/>
              <w:rPr>
                <w:sz w:val="20"/>
                <w:szCs w:val="20"/>
                <w:u w:val="single"/>
              </w:rPr>
            </w:pPr>
            <w:r>
              <w:rPr>
                <w:sz w:val="20"/>
                <w:szCs w:val="20"/>
                <w:u w:val="single"/>
              </w:rPr>
              <w:t xml:space="preserve">Desfechos Secundários </w:t>
            </w:r>
          </w:p>
          <w:p w14:paraId="6ED6D1BA" w14:textId="77777777" w:rsidR="00817793" w:rsidRDefault="002719FC">
            <w:pPr>
              <w:spacing w:before="120" w:after="120"/>
              <w:jc w:val="center"/>
              <w:rPr>
                <w:sz w:val="20"/>
                <w:szCs w:val="20"/>
              </w:rPr>
            </w:pPr>
            <w:r>
              <w:rPr>
                <w:sz w:val="20"/>
                <w:szCs w:val="20"/>
              </w:rPr>
              <w:t>Redução da atividade da doença (SLEDAI-2K).</w:t>
            </w:r>
          </w:p>
          <w:p w14:paraId="23B469AF" w14:textId="77777777" w:rsidR="00817793" w:rsidRDefault="002719FC">
            <w:pPr>
              <w:spacing w:before="120" w:after="120"/>
              <w:jc w:val="center"/>
              <w:rPr>
                <w:sz w:val="20"/>
                <w:szCs w:val="20"/>
              </w:rPr>
            </w:pPr>
            <w:r>
              <w:rPr>
                <w:sz w:val="20"/>
                <w:szCs w:val="20"/>
              </w:rPr>
              <w:t>Uso de glicocorticoides.</w:t>
            </w:r>
          </w:p>
          <w:p w14:paraId="254E2EF6" w14:textId="77777777" w:rsidR="00817793" w:rsidRDefault="002719FC">
            <w:pPr>
              <w:spacing w:before="120" w:after="120"/>
              <w:jc w:val="center"/>
              <w:rPr>
                <w:sz w:val="20"/>
                <w:szCs w:val="20"/>
              </w:rPr>
            </w:pPr>
            <w:r>
              <w:rPr>
                <w:sz w:val="20"/>
                <w:szCs w:val="20"/>
              </w:rPr>
              <w:t xml:space="preserve">Taxa de </w:t>
            </w:r>
            <w:proofErr w:type="spellStart"/>
            <w:r w:rsidRPr="001E7850">
              <w:rPr>
                <w:i/>
                <w:iCs/>
                <w:sz w:val="20"/>
                <w:szCs w:val="20"/>
              </w:rPr>
              <w:t>flares</w:t>
            </w:r>
            <w:proofErr w:type="spellEnd"/>
            <w:r>
              <w:rPr>
                <w:sz w:val="20"/>
                <w:szCs w:val="20"/>
              </w:rPr>
              <w:t>.</w:t>
            </w:r>
          </w:p>
          <w:p w14:paraId="2461790F" w14:textId="77777777" w:rsidR="00817793" w:rsidRDefault="002719FC">
            <w:pPr>
              <w:spacing w:before="120" w:after="120"/>
              <w:jc w:val="center"/>
              <w:rPr>
                <w:sz w:val="20"/>
                <w:szCs w:val="20"/>
              </w:rPr>
            </w:pPr>
            <w:r>
              <w:rPr>
                <w:sz w:val="20"/>
                <w:szCs w:val="20"/>
              </w:rPr>
              <w:t xml:space="preserve">Dano cumulativo (SDI - </w:t>
            </w:r>
            <w:proofErr w:type="spellStart"/>
            <w:r w:rsidRPr="001E7850">
              <w:rPr>
                <w:i/>
                <w:iCs/>
                <w:sz w:val="20"/>
                <w:szCs w:val="20"/>
              </w:rPr>
              <w:t>Systemic</w:t>
            </w:r>
            <w:proofErr w:type="spellEnd"/>
            <w:r w:rsidRPr="001E7850">
              <w:rPr>
                <w:i/>
                <w:iCs/>
                <w:sz w:val="20"/>
                <w:szCs w:val="20"/>
              </w:rPr>
              <w:t xml:space="preserve"> </w:t>
            </w:r>
            <w:proofErr w:type="spellStart"/>
            <w:r w:rsidRPr="001E7850">
              <w:rPr>
                <w:i/>
                <w:iCs/>
                <w:sz w:val="20"/>
                <w:szCs w:val="20"/>
              </w:rPr>
              <w:t>Lupus</w:t>
            </w:r>
            <w:proofErr w:type="spellEnd"/>
            <w:r w:rsidRPr="001E7850">
              <w:rPr>
                <w:i/>
                <w:iCs/>
                <w:sz w:val="20"/>
                <w:szCs w:val="20"/>
              </w:rPr>
              <w:t xml:space="preserve"> </w:t>
            </w:r>
            <w:proofErr w:type="spellStart"/>
            <w:r w:rsidRPr="001E7850">
              <w:rPr>
                <w:i/>
                <w:iCs/>
                <w:sz w:val="20"/>
                <w:szCs w:val="20"/>
              </w:rPr>
              <w:t>International</w:t>
            </w:r>
            <w:proofErr w:type="spellEnd"/>
            <w:r w:rsidRPr="001E7850">
              <w:rPr>
                <w:i/>
                <w:iCs/>
                <w:sz w:val="20"/>
                <w:szCs w:val="20"/>
              </w:rPr>
              <w:t xml:space="preserve"> </w:t>
            </w:r>
            <w:proofErr w:type="spellStart"/>
            <w:r w:rsidRPr="001E7850">
              <w:rPr>
                <w:i/>
                <w:iCs/>
                <w:sz w:val="20"/>
                <w:szCs w:val="20"/>
              </w:rPr>
              <w:t>Collaborating</w:t>
            </w:r>
            <w:proofErr w:type="spellEnd"/>
            <w:r w:rsidRPr="001E7850">
              <w:rPr>
                <w:i/>
                <w:iCs/>
                <w:sz w:val="20"/>
                <w:szCs w:val="20"/>
              </w:rPr>
              <w:t xml:space="preserve"> </w:t>
            </w:r>
            <w:proofErr w:type="spellStart"/>
            <w:r w:rsidRPr="001E7850">
              <w:rPr>
                <w:i/>
                <w:iCs/>
                <w:sz w:val="20"/>
                <w:szCs w:val="20"/>
              </w:rPr>
              <w:t>Clinics</w:t>
            </w:r>
            <w:proofErr w:type="spellEnd"/>
            <w:r w:rsidRPr="001E7850">
              <w:rPr>
                <w:i/>
                <w:iCs/>
                <w:sz w:val="20"/>
                <w:szCs w:val="20"/>
              </w:rPr>
              <w:t xml:space="preserve"> </w:t>
            </w:r>
            <w:proofErr w:type="spellStart"/>
            <w:r w:rsidRPr="001E7850">
              <w:rPr>
                <w:i/>
                <w:iCs/>
                <w:sz w:val="20"/>
                <w:szCs w:val="20"/>
              </w:rPr>
              <w:t>Damage</w:t>
            </w:r>
            <w:proofErr w:type="spellEnd"/>
            <w:r w:rsidRPr="001E7850">
              <w:rPr>
                <w:i/>
                <w:iCs/>
                <w:sz w:val="20"/>
                <w:szCs w:val="20"/>
              </w:rPr>
              <w:t xml:space="preserve"> Index</w:t>
            </w:r>
            <w:r>
              <w:rPr>
                <w:sz w:val="20"/>
                <w:szCs w:val="20"/>
              </w:rPr>
              <w:t>).</w:t>
            </w:r>
          </w:p>
        </w:tc>
        <w:tc>
          <w:tcPr>
            <w:tcW w:w="1500" w:type="dxa"/>
          </w:tcPr>
          <w:p w14:paraId="6A1CC582" w14:textId="77777777" w:rsidR="00817793" w:rsidRDefault="002719FC">
            <w:pPr>
              <w:spacing w:before="120" w:after="120"/>
              <w:jc w:val="center"/>
              <w:rPr>
                <w:sz w:val="20"/>
                <w:szCs w:val="20"/>
              </w:rPr>
            </w:pPr>
            <w:r>
              <w:rPr>
                <w:sz w:val="20"/>
                <w:szCs w:val="20"/>
              </w:rPr>
              <w:t>AstraZeneca</w:t>
            </w:r>
          </w:p>
        </w:tc>
      </w:tr>
    </w:tbl>
    <w:p w14:paraId="6FBC31EC" w14:textId="4F900212" w:rsidR="00817793" w:rsidRDefault="002719FC">
      <w:pPr>
        <w:spacing w:before="120" w:after="120" w:line="240" w:lineRule="auto"/>
        <w:jc w:val="center"/>
        <w:rPr>
          <w:sz w:val="20"/>
          <w:szCs w:val="20"/>
        </w:rPr>
      </w:pPr>
      <w:r>
        <w:rPr>
          <w:sz w:val="20"/>
          <w:szCs w:val="20"/>
        </w:rPr>
        <w:t>ECR: Ensaio Clínico Randomizado; EUA: Estados Unidos da América; LES: Lúpus Eritematoso Sistêmico; (*</w:t>
      </w:r>
      <w:proofErr w:type="gramStart"/>
      <w:r>
        <w:rPr>
          <w:sz w:val="20"/>
          <w:szCs w:val="20"/>
        </w:rPr>
        <w:t>)</w:t>
      </w:r>
      <w:r w:rsidR="001E7850">
        <w:rPr>
          <w:sz w:val="20"/>
          <w:szCs w:val="20"/>
        </w:rPr>
        <w:t xml:space="preserve"> </w:t>
      </w:r>
      <w:r>
        <w:rPr>
          <w:sz w:val="20"/>
          <w:szCs w:val="20"/>
        </w:rPr>
        <w:t>Os</w:t>
      </w:r>
      <w:proofErr w:type="gramEnd"/>
      <w:r>
        <w:rPr>
          <w:sz w:val="20"/>
          <w:szCs w:val="20"/>
        </w:rPr>
        <w:t xml:space="preserve"> pacientes estavam em tratamento estável com pelo menos um dos seguintes medicamentos: Corticosteroides orais (como a prednisona) ou equivalente</w:t>
      </w:r>
      <w:r w:rsidR="001E7850">
        <w:rPr>
          <w:sz w:val="20"/>
          <w:szCs w:val="20"/>
        </w:rPr>
        <w:t>;</w:t>
      </w:r>
      <w:r>
        <w:rPr>
          <w:sz w:val="20"/>
          <w:szCs w:val="20"/>
        </w:rPr>
        <w:t xml:space="preserve"> Antimaláricos (como a hidroxicloroquina)</w:t>
      </w:r>
      <w:r w:rsidR="001E7850">
        <w:rPr>
          <w:sz w:val="20"/>
          <w:szCs w:val="20"/>
        </w:rPr>
        <w:t>;</w:t>
      </w:r>
      <w:r>
        <w:rPr>
          <w:sz w:val="20"/>
          <w:szCs w:val="20"/>
        </w:rPr>
        <w:t xml:space="preserve"> Imunossupressores</w:t>
      </w:r>
      <w:r w:rsidR="001E7850">
        <w:rPr>
          <w:sz w:val="20"/>
          <w:szCs w:val="20"/>
        </w:rPr>
        <w:t xml:space="preserve"> (</w:t>
      </w:r>
      <w:r>
        <w:rPr>
          <w:sz w:val="20"/>
          <w:szCs w:val="20"/>
        </w:rPr>
        <w:t xml:space="preserve">incluindo: </w:t>
      </w:r>
      <w:proofErr w:type="spellStart"/>
      <w:r>
        <w:rPr>
          <w:sz w:val="20"/>
          <w:szCs w:val="20"/>
        </w:rPr>
        <w:t>Azatioprina</w:t>
      </w:r>
      <w:proofErr w:type="spellEnd"/>
      <w:r>
        <w:rPr>
          <w:sz w:val="20"/>
          <w:szCs w:val="20"/>
        </w:rPr>
        <w:t xml:space="preserve">, </w:t>
      </w:r>
      <w:proofErr w:type="spellStart"/>
      <w:r>
        <w:rPr>
          <w:sz w:val="20"/>
          <w:szCs w:val="20"/>
        </w:rPr>
        <w:t>Mizoribina</w:t>
      </w:r>
      <w:proofErr w:type="spellEnd"/>
      <w:r>
        <w:rPr>
          <w:sz w:val="20"/>
          <w:szCs w:val="20"/>
        </w:rPr>
        <w:t xml:space="preserve">, </w:t>
      </w:r>
      <w:proofErr w:type="spellStart"/>
      <w:r>
        <w:rPr>
          <w:sz w:val="20"/>
          <w:szCs w:val="20"/>
        </w:rPr>
        <w:t>Micofenolato</w:t>
      </w:r>
      <w:proofErr w:type="spellEnd"/>
      <w:r>
        <w:rPr>
          <w:sz w:val="20"/>
          <w:szCs w:val="20"/>
        </w:rPr>
        <w:t xml:space="preserve"> </w:t>
      </w:r>
      <w:proofErr w:type="spellStart"/>
      <w:r>
        <w:rPr>
          <w:sz w:val="20"/>
          <w:szCs w:val="20"/>
        </w:rPr>
        <w:t>mofetil</w:t>
      </w:r>
      <w:proofErr w:type="spellEnd"/>
      <w:r>
        <w:rPr>
          <w:sz w:val="20"/>
          <w:szCs w:val="20"/>
        </w:rPr>
        <w:t xml:space="preserve"> ou ácido </w:t>
      </w:r>
      <w:proofErr w:type="spellStart"/>
      <w:r>
        <w:rPr>
          <w:sz w:val="20"/>
          <w:szCs w:val="20"/>
        </w:rPr>
        <w:t>micofenólico</w:t>
      </w:r>
      <w:proofErr w:type="spellEnd"/>
      <w:r>
        <w:rPr>
          <w:sz w:val="20"/>
          <w:szCs w:val="20"/>
        </w:rPr>
        <w:t>, Metotrexato</w:t>
      </w:r>
      <w:r w:rsidR="001E7850">
        <w:rPr>
          <w:sz w:val="20"/>
          <w:szCs w:val="20"/>
        </w:rPr>
        <w:t>)</w:t>
      </w:r>
      <w:r>
        <w:rPr>
          <w:sz w:val="20"/>
          <w:szCs w:val="20"/>
        </w:rPr>
        <w:t>.</w:t>
      </w:r>
    </w:p>
    <w:p w14:paraId="40C05AC5" w14:textId="77777777" w:rsidR="004E7148" w:rsidRDefault="004E7148">
      <w:pPr>
        <w:spacing w:before="120" w:after="120" w:line="240" w:lineRule="auto"/>
        <w:jc w:val="center"/>
        <w:rPr>
          <w:sz w:val="20"/>
          <w:szCs w:val="20"/>
        </w:rPr>
      </w:pPr>
    </w:p>
    <w:p w14:paraId="414D68E3" w14:textId="77777777" w:rsidR="004E7148" w:rsidRDefault="004E7148">
      <w:pPr>
        <w:spacing w:before="120" w:after="120" w:line="240" w:lineRule="auto"/>
        <w:jc w:val="center"/>
        <w:rPr>
          <w:sz w:val="20"/>
          <w:szCs w:val="20"/>
        </w:rPr>
      </w:pPr>
    </w:p>
    <w:tbl>
      <w:tblPr>
        <w:tblStyle w:val="af4"/>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4C3EB424" w14:textId="77777777">
        <w:trPr>
          <w:trHeight w:val="416"/>
        </w:trPr>
        <w:tc>
          <w:tcPr>
            <w:tcW w:w="9072" w:type="dxa"/>
            <w:shd w:val="clear" w:color="auto" w:fill="D9E2F3"/>
            <w:vAlign w:val="center"/>
          </w:tcPr>
          <w:p w14:paraId="682B0CE1" w14:textId="77777777" w:rsidR="00817793" w:rsidRDefault="002719FC">
            <w:pPr>
              <w:spacing w:before="120" w:after="120" w:line="240" w:lineRule="auto"/>
              <w:jc w:val="center"/>
              <w:rPr>
                <w:b/>
              </w:rPr>
            </w:pPr>
            <w:r>
              <w:rPr>
                <w:b/>
              </w:rPr>
              <w:t>Comentários gerais sobre o quadro de características dos estudos incluídos</w:t>
            </w:r>
          </w:p>
        </w:tc>
      </w:tr>
      <w:tr w:rsidR="00817793" w14:paraId="066FF7DC" w14:textId="77777777">
        <w:trPr>
          <w:trHeight w:val="750"/>
        </w:trPr>
        <w:tc>
          <w:tcPr>
            <w:tcW w:w="9072" w:type="dxa"/>
            <w:vAlign w:val="center"/>
          </w:tcPr>
          <w:p w14:paraId="612DF026" w14:textId="77777777" w:rsidR="00817793" w:rsidRDefault="002719FC">
            <w:pPr>
              <w:spacing w:before="120" w:after="120" w:line="240" w:lineRule="auto"/>
            </w:pPr>
            <w:r>
              <w:t xml:space="preserve">O proponente apresentou um quadro com as características dos estudos incluídos em sua análise, focando na descrição dos ensaios clínicos principais (TULIP-1, TULIP-2 e TULIP-LTE), dos estudos </w:t>
            </w:r>
            <w:r w:rsidRPr="00BC4D84">
              <w:rPr>
                <w:i/>
                <w:iCs/>
              </w:rPr>
              <w:t>post-</w:t>
            </w:r>
            <w:r w:rsidRPr="00BC4D84">
              <w:rPr>
                <w:i/>
                <w:iCs/>
              </w:rPr>
              <w:lastRenderedPageBreak/>
              <w:t>hoc</w:t>
            </w:r>
            <w:r>
              <w:t xml:space="preserve"> dos ensaios clínicos (Vital et al., 2022; Morand et al., 2023; Bruce et al., 2023), dos estudos com análise de dados agrupados (</w:t>
            </w:r>
            <w:proofErr w:type="spellStart"/>
            <w:r>
              <w:t>Tummala</w:t>
            </w:r>
            <w:proofErr w:type="spellEnd"/>
            <w:r>
              <w:t xml:space="preserve"> et al., 2021) e das revisões sistemáticas incluídas.</w:t>
            </w:r>
          </w:p>
          <w:p w14:paraId="485CD52A" w14:textId="77777777" w:rsidR="00817793" w:rsidRDefault="002719FC">
            <w:pPr>
              <w:spacing w:before="120" w:after="120" w:line="240" w:lineRule="auto"/>
            </w:pPr>
            <w:r>
              <w:t xml:space="preserve">Os pareceristas não incluíram nenhuma revisão sistemática que respondesse à pergunta de pesquisa. As revisões sistemáticas incluídas pelo proponente comparavam o </w:t>
            </w:r>
            <w:proofErr w:type="spellStart"/>
            <w:r>
              <w:t>anifrolumabe</w:t>
            </w:r>
            <w:proofErr w:type="spellEnd"/>
            <w:r>
              <w:t xml:space="preserve"> com outros imunobiológicos (Chan et al., 2023; Koh et al., 2020) ou incluíram ensaios clínicos de Fase II - MUSE (</w:t>
            </w:r>
            <w:proofErr w:type="spellStart"/>
            <w:r>
              <w:t>Cingireddy</w:t>
            </w:r>
            <w:proofErr w:type="spellEnd"/>
            <w:r>
              <w:t xml:space="preserve"> et al., 2024; Lee et al., 2020; Liu et al., 2022).</w:t>
            </w:r>
          </w:p>
          <w:p w14:paraId="3C2E5079" w14:textId="77777777" w:rsidR="00817793" w:rsidRDefault="002719FC">
            <w:pPr>
              <w:spacing w:before="120" w:after="120" w:line="240" w:lineRule="auto"/>
            </w:pPr>
            <w:r>
              <w:t>Os pareceristas descreveram as características dos três ensaios clínicos incluídos:</w:t>
            </w:r>
          </w:p>
          <w:p w14:paraId="797E50C6" w14:textId="77777777" w:rsidR="00817793" w:rsidRDefault="00817793">
            <w:pPr>
              <w:spacing w:before="120" w:after="120" w:line="240" w:lineRule="auto"/>
            </w:pPr>
          </w:p>
          <w:p w14:paraId="15E04077" w14:textId="77777777" w:rsidR="00817793" w:rsidRDefault="002719FC">
            <w:pPr>
              <w:spacing w:before="120" w:after="120" w:line="240" w:lineRule="auto"/>
              <w:rPr>
                <w:b/>
                <w:u w:val="single"/>
              </w:rPr>
            </w:pPr>
            <w:proofErr w:type="spellStart"/>
            <w:r>
              <w:rPr>
                <w:b/>
                <w:u w:val="single"/>
              </w:rPr>
              <w:t>Furie</w:t>
            </w:r>
            <w:proofErr w:type="spellEnd"/>
            <w:r>
              <w:rPr>
                <w:b/>
                <w:u w:val="single"/>
              </w:rPr>
              <w:t xml:space="preserve"> et al. (2019) - TULIP -1:</w:t>
            </w:r>
          </w:p>
          <w:p w14:paraId="17FEAB08" w14:textId="77777777" w:rsidR="00817793" w:rsidRDefault="002719FC">
            <w:pPr>
              <w:spacing w:before="120" w:after="120" w:line="240" w:lineRule="auto"/>
            </w:pPr>
            <w:r>
              <w:t>O estudo TULIP-1 foi um ensaio clínico de fase 3, randomizado, duplo-cego e controlado por placebo</w:t>
            </w:r>
            <w:r w:rsidRPr="00EC5EED">
              <w:t xml:space="preserve"> + tratamento </w:t>
            </w:r>
            <w:proofErr w:type="gramStart"/>
            <w:r w:rsidRPr="00EC5EED">
              <w:t>padrão(</w:t>
            </w:r>
            <w:proofErr w:type="gramEnd"/>
            <w:r w:rsidRPr="00EC5EED">
              <w:t>*)</w:t>
            </w:r>
            <w:r>
              <w:t xml:space="preserve">, que avaliou a eficácia e segurança do </w:t>
            </w:r>
            <w:proofErr w:type="spellStart"/>
            <w:r>
              <w:t>anifrolumabe</w:t>
            </w:r>
            <w:proofErr w:type="spellEnd"/>
            <w:r>
              <w:t xml:space="preserve">, um anticorpo monoclonal humano direcionado ao receptor de interferon tipo I, no tratamento de pacientes com lúpus eritematoso sistêmico (LES) ativo e moderado a grave. O objetivo principal era verificar se o </w:t>
            </w:r>
            <w:proofErr w:type="spellStart"/>
            <w:r>
              <w:t>anifrolumabe</w:t>
            </w:r>
            <w:proofErr w:type="spellEnd"/>
            <w:r>
              <w:t xml:space="preserve"> proporciona benefícios clínicos significativos em comparação ao placebo</w:t>
            </w:r>
            <w:r w:rsidRPr="00EC5EED">
              <w:t xml:space="preserve"> + tratamento </w:t>
            </w:r>
            <w:proofErr w:type="gramStart"/>
            <w:r w:rsidRPr="00EC5EED">
              <w:t>padrão(</w:t>
            </w:r>
            <w:proofErr w:type="gramEnd"/>
            <w:r w:rsidRPr="00EC5EED">
              <w:t>*)</w:t>
            </w:r>
            <w:r>
              <w:t>, além do tratamento padrão.</w:t>
            </w:r>
          </w:p>
          <w:p w14:paraId="0139E9C9" w14:textId="77777777" w:rsidR="00817793" w:rsidRDefault="002719FC">
            <w:pPr>
              <w:spacing w:before="120" w:after="120" w:line="240" w:lineRule="auto"/>
            </w:pPr>
            <w:r>
              <w:t>Os pacientes incluídos no estudo apresentavam: a idade média variando entre 41 e 42 anos, predominantemente do sexo feminino (92%). Em relação à raça, 69% a 74% dos pacientes eram brancos, 13% a 16% eram afro-americanos, 3% a 9% eram asiáticos e 8% a 10% pertenciam a outras raças ou etnias.</w:t>
            </w:r>
          </w:p>
          <w:p w14:paraId="1361E807" w14:textId="77777777" w:rsidR="00817793" w:rsidRDefault="002719FC">
            <w:pPr>
              <w:spacing w:before="120" w:after="120" w:line="240" w:lineRule="auto"/>
            </w:pPr>
            <w:r>
              <w:t>Em termos de atividade da doença, o escore médio no SLEDAI-2K, que é um índice de atividade da doença, variou entre 11,0 e 11,5. Além disso, 69% a 73% dos pacientes tinham um escore SLEDAI-2K igual ou superior a 10, e 46% a 52% apresentavam ao menos um item A no BILAG-2004, indicando alta atividade da doença. Também foi observado que 44% a 52% dos pacientes tinham ao menos dois itens B no BILAG-2004.</w:t>
            </w:r>
          </w:p>
          <w:p w14:paraId="3C5F2C2E" w14:textId="77777777" w:rsidR="00817793" w:rsidRDefault="002719FC">
            <w:pPr>
              <w:spacing w:before="120" w:after="120" w:line="240" w:lineRule="auto"/>
            </w:pPr>
            <w:r>
              <w:t xml:space="preserve">Quanto aos tratamentos prévios, 83% a 84% dos pacientes utilizaram corticosteroides orais, como prednisona ou equivalente, 69% a 82% fizeram uso de antimaláricos e 12% a 18% foram tratados com imunossupressores, incluindo </w:t>
            </w:r>
            <w:proofErr w:type="spellStart"/>
            <w:r>
              <w:t>azatioprina</w:t>
            </w:r>
            <w:proofErr w:type="spellEnd"/>
            <w:r>
              <w:t xml:space="preserve">, metotrexato e </w:t>
            </w:r>
            <w:proofErr w:type="spellStart"/>
            <w:r>
              <w:t>micofenolato</w:t>
            </w:r>
            <w:proofErr w:type="spellEnd"/>
            <w:r>
              <w:t>. Por fim, a assinatura gênica de interferon tipo I estava elevada em 82% dos pacientes.</w:t>
            </w:r>
          </w:p>
          <w:p w14:paraId="2DCF9305" w14:textId="77777777" w:rsidR="00817793" w:rsidRDefault="002719FC">
            <w:pPr>
              <w:spacing w:before="120" w:after="120" w:line="240" w:lineRule="auto"/>
              <w:rPr>
                <w:b/>
                <w:i/>
              </w:rPr>
            </w:pPr>
            <w:r>
              <w:rPr>
                <w:b/>
                <w:i/>
              </w:rPr>
              <w:t>Critérios de Inclusão:</w:t>
            </w:r>
          </w:p>
          <w:p w14:paraId="4F148EF7" w14:textId="77777777" w:rsidR="00817793" w:rsidRDefault="002719FC">
            <w:pPr>
              <w:numPr>
                <w:ilvl w:val="0"/>
                <w:numId w:val="5"/>
              </w:numPr>
              <w:spacing w:before="120" w:after="0" w:line="240" w:lineRule="auto"/>
            </w:pPr>
            <w:r>
              <w:t xml:space="preserve">Diagnóstico de LES: Cumprir os critérios de classificação do American </w:t>
            </w:r>
            <w:proofErr w:type="spellStart"/>
            <w:r>
              <w:t>College</w:t>
            </w:r>
            <w:proofErr w:type="spellEnd"/>
            <w:r>
              <w:t xml:space="preserve"> </w:t>
            </w:r>
            <w:proofErr w:type="spellStart"/>
            <w:r>
              <w:t>of</w:t>
            </w:r>
            <w:proofErr w:type="spellEnd"/>
            <w:r>
              <w:t xml:space="preserve"> </w:t>
            </w:r>
            <w:proofErr w:type="spellStart"/>
            <w:r>
              <w:t>Rheumatology</w:t>
            </w:r>
            <w:proofErr w:type="spellEnd"/>
            <w:r>
              <w:t xml:space="preserve"> (ACR) e ter diagnóstico confirmado há pelo menos 24 semanas antes da inclusão.</w:t>
            </w:r>
          </w:p>
          <w:p w14:paraId="5D3BC646" w14:textId="77777777" w:rsidR="00817793" w:rsidRDefault="002719FC">
            <w:pPr>
              <w:numPr>
                <w:ilvl w:val="0"/>
                <w:numId w:val="5"/>
              </w:numPr>
              <w:spacing w:before="0" w:after="0" w:line="240" w:lineRule="auto"/>
            </w:pPr>
            <w:r>
              <w:t xml:space="preserve">Atividade da doença: Escore SLEDAI-2K ≥6 (excluindo febre, cefaleia </w:t>
            </w:r>
            <w:proofErr w:type="spellStart"/>
            <w:r>
              <w:t>lúpica</w:t>
            </w:r>
            <w:proofErr w:type="spellEnd"/>
            <w:r>
              <w:t xml:space="preserve"> ou síndrome cerebral orgânica).</w:t>
            </w:r>
          </w:p>
          <w:p w14:paraId="6C916288" w14:textId="77777777" w:rsidR="00817793" w:rsidRDefault="002719FC">
            <w:pPr>
              <w:numPr>
                <w:ilvl w:val="0"/>
                <w:numId w:val="5"/>
              </w:numPr>
              <w:spacing w:before="0" w:after="0" w:line="240" w:lineRule="auto"/>
            </w:pPr>
            <w:r>
              <w:t>Escore clínico SLEDAI-2K ≥4 (excluindo resultados laboratoriais).</w:t>
            </w:r>
          </w:p>
          <w:p w14:paraId="2481752C" w14:textId="77777777" w:rsidR="00817793" w:rsidRDefault="002719FC">
            <w:pPr>
              <w:numPr>
                <w:ilvl w:val="0"/>
                <w:numId w:val="5"/>
              </w:numPr>
              <w:spacing w:before="0" w:after="0" w:line="240" w:lineRule="auto"/>
            </w:pPr>
            <w:r>
              <w:t>Pelo menos um item A ou dois itens B no BILAG-2004.</w:t>
            </w:r>
          </w:p>
          <w:p w14:paraId="190C25B6" w14:textId="77777777" w:rsidR="00817793" w:rsidRDefault="002719FC">
            <w:pPr>
              <w:numPr>
                <w:ilvl w:val="0"/>
                <w:numId w:val="5"/>
              </w:numPr>
              <w:spacing w:before="0" w:after="0" w:line="240" w:lineRule="auto"/>
            </w:pPr>
            <w:r>
              <w:t>Avaliação global do médico (PGA) ≥1 (em uma escala de 0 a 3).</w:t>
            </w:r>
          </w:p>
          <w:p w14:paraId="67707B99" w14:textId="77777777" w:rsidR="00817793" w:rsidRDefault="002719FC">
            <w:pPr>
              <w:numPr>
                <w:ilvl w:val="0"/>
                <w:numId w:val="5"/>
              </w:numPr>
              <w:spacing w:before="0" w:after="0" w:line="240" w:lineRule="auto"/>
            </w:pPr>
            <w:r>
              <w:t xml:space="preserve">Soropositividade: Anticorpos antinucleares (ANA), </w:t>
            </w:r>
            <w:proofErr w:type="spellStart"/>
            <w:r>
              <w:t>anti-DNA</w:t>
            </w:r>
            <w:proofErr w:type="spellEnd"/>
            <w:r>
              <w:t xml:space="preserve"> de fita dupla (</w:t>
            </w:r>
            <w:proofErr w:type="spellStart"/>
            <w:r>
              <w:t>anti-dsDNA</w:t>
            </w:r>
            <w:proofErr w:type="spellEnd"/>
            <w:r>
              <w:t xml:space="preserve">) ou </w:t>
            </w:r>
            <w:proofErr w:type="spellStart"/>
            <w:r>
              <w:t>anti-Smith</w:t>
            </w:r>
            <w:proofErr w:type="spellEnd"/>
            <w:r>
              <w:t>.</w:t>
            </w:r>
          </w:p>
          <w:p w14:paraId="5B3D2BC1" w14:textId="77777777" w:rsidR="00817793" w:rsidRDefault="002719FC">
            <w:pPr>
              <w:numPr>
                <w:ilvl w:val="0"/>
                <w:numId w:val="5"/>
              </w:numPr>
              <w:spacing w:before="0" w:after="0" w:line="240" w:lineRule="auto"/>
            </w:pPr>
            <w:r>
              <w:lastRenderedPageBreak/>
              <w:t xml:space="preserve">Tratamento estável: Uso contínuo de </w:t>
            </w:r>
            <w:r>
              <w:rPr>
                <w:b/>
              </w:rPr>
              <w:t>pelo menos um dos seguintes</w:t>
            </w:r>
            <w:r>
              <w:t xml:space="preserve">: corticosteroides, antimaláricos, </w:t>
            </w:r>
            <w:proofErr w:type="spellStart"/>
            <w:r>
              <w:t>azatioprina</w:t>
            </w:r>
            <w:proofErr w:type="spellEnd"/>
            <w:r>
              <w:t xml:space="preserve">, </w:t>
            </w:r>
            <w:proofErr w:type="spellStart"/>
            <w:r>
              <w:t>mizoribina</w:t>
            </w:r>
            <w:proofErr w:type="spellEnd"/>
            <w:r>
              <w:t xml:space="preserve">, </w:t>
            </w:r>
            <w:proofErr w:type="spellStart"/>
            <w:r>
              <w:t>micofenolato</w:t>
            </w:r>
            <w:proofErr w:type="spellEnd"/>
            <w:r>
              <w:t xml:space="preserve"> </w:t>
            </w:r>
            <w:proofErr w:type="spellStart"/>
            <w:r>
              <w:t>mofetil</w:t>
            </w:r>
            <w:proofErr w:type="spellEnd"/>
            <w:r>
              <w:t xml:space="preserve"> ou ácido </w:t>
            </w:r>
            <w:proofErr w:type="spellStart"/>
            <w:r>
              <w:t>micofenólico</w:t>
            </w:r>
            <w:proofErr w:type="spellEnd"/>
            <w:r>
              <w:t>, ou metotrexato.</w:t>
            </w:r>
          </w:p>
          <w:p w14:paraId="7714B2C4" w14:textId="77777777" w:rsidR="00817793" w:rsidRDefault="002719FC">
            <w:pPr>
              <w:numPr>
                <w:ilvl w:val="0"/>
                <w:numId w:val="5"/>
              </w:numPr>
              <w:spacing w:before="0" w:after="120" w:line="240" w:lineRule="auto"/>
            </w:pPr>
            <w:r>
              <w:t xml:space="preserve">Peso mínimo: ≥40 kg. </w:t>
            </w:r>
          </w:p>
          <w:p w14:paraId="6778368B" w14:textId="61C6A67E" w:rsidR="00817793" w:rsidRDefault="002719FC">
            <w:pPr>
              <w:spacing w:before="120" w:after="120" w:line="240" w:lineRule="auto"/>
              <w:rPr>
                <w:b/>
                <w:i/>
              </w:rPr>
            </w:pPr>
            <w:r>
              <w:rPr>
                <w:b/>
                <w:i/>
              </w:rPr>
              <w:t>Critérios de Exclusão</w:t>
            </w:r>
            <w:r w:rsidR="00EC5EED">
              <w:rPr>
                <w:b/>
                <w:i/>
              </w:rPr>
              <w:t>:</w:t>
            </w:r>
          </w:p>
          <w:p w14:paraId="553A92FD" w14:textId="77777777" w:rsidR="00817793" w:rsidRDefault="002719FC">
            <w:pPr>
              <w:numPr>
                <w:ilvl w:val="0"/>
                <w:numId w:val="14"/>
              </w:numPr>
              <w:spacing w:before="120" w:after="0" w:line="240" w:lineRule="auto"/>
            </w:pPr>
            <w:r>
              <w:t xml:space="preserve">Doença grave ou complicações específicas: Nefrite </w:t>
            </w:r>
            <w:proofErr w:type="spellStart"/>
            <w:r>
              <w:t>lúpica</w:t>
            </w:r>
            <w:proofErr w:type="spellEnd"/>
            <w:r>
              <w:t xml:space="preserve"> grave; Lúpus do sistema nervoso central (SNC).</w:t>
            </w:r>
          </w:p>
          <w:p w14:paraId="40209D07" w14:textId="77777777" w:rsidR="00817793" w:rsidRDefault="002719FC">
            <w:pPr>
              <w:numPr>
                <w:ilvl w:val="0"/>
                <w:numId w:val="14"/>
              </w:numPr>
              <w:spacing w:before="0" w:after="0" w:line="240" w:lineRule="auto"/>
            </w:pPr>
            <w:r>
              <w:t>Histórico de condições médicas: Doenças autoimunes concomitantes que poderiam confundir os resultados, Infecções ativas graves ou crônicas (incluindo tuberculose ativa).</w:t>
            </w:r>
          </w:p>
          <w:p w14:paraId="153A353E" w14:textId="77777777" w:rsidR="00817793" w:rsidRDefault="002719FC">
            <w:pPr>
              <w:numPr>
                <w:ilvl w:val="0"/>
                <w:numId w:val="14"/>
              </w:numPr>
              <w:spacing w:before="0" w:after="0" w:line="240" w:lineRule="auto"/>
            </w:pPr>
            <w:r>
              <w:t>Uso de medicamentos restritos: Terapias biológicas recentes ou uso de agentes imunossupressores fora do permitido pelo protocolo.</w:t>
            </w:r>
          </w:p>
          <w:p w14:paraId="625C0083" w14:textId="77777777" w:rsidR="00817793" w:rsidRDefault="002719FC">
            <w:pPr>
              <w:numPr>
                <w:ilvl w:val="0"/>
                <w:numId w:val="14"/>
              </w:numPr>
              <w:spacing w:before="0" w:after="0" w:line="240" w:lineRule="auto"/>
            </w:pPr>
            <w:r>
              <w:t>Outros fatores: Gravidez ou amamentação.</w:t>
            </w:r>
          </w:p>
          <w:p w14:paraId="71C6D771" w14:textId="77777777" w:rsidR="00817793" w:rsidRDefault="002719FC">
            <w:pPr>
              <w:numPr>
                <w:ilvl w:val="0"/>
                <w:numId w:val="14"/>
              </w:numPr>
              <w:spacing w:before="0" w:after="0" w:line="240" w:lineRule="auto"/>
            </w:pPr>
            <w:r>
              <w:t>Participação em outro estudo clínico recentemente.</w:t>
            </w:r>
          </w:p>
          <w:p w14:paraId="33C4A45C" w14:textId="77777777" w:rsidR="00817793" w:rsidRDefault="002719FC">
            <w:pPr>
              <w:numPr>
                <w:ilvl w:val="0"/>
                <w:numId w:val="14"/>
              </w:numPr>
              <w:spacing w:before="0" w:after="120" w:line="240" w:lineRule="auto"/>
            </w:pPr>
            <w:r>
              <w:t>Condições que poderiam interferir na adesão ao protocolo ou na avaliação da eficácia e segurança do tratamento.</w:t>
            </w:r>
          </w:p>
          <w:p w14:paraId="7B04FA47" w14:textId="77777777" w:rsidR="00817793" w:rsidRDefault="00817793">
            <w:pPr>
              <w:spacing w:before="120" w:after="120" w:line="240" w:lineRule="auto"/>
            </w:pPr>
          </w:p>
          <w:p w14:paraId="1994B2A2" w14:textId="313BD3E4" w:rsidR="00817793" w:rsidRDefault="002719FC">
            <w:pPr>
              <w:spacing w:before="120" w:after="120" w:line="240" w:lineRule="auto"/>
              <w:rPr>
                <w:b/>
                <w:u w:val="single"/>
              </w:rPr>
            </w:pPr>
            <w:r>
              <w:rPr>
                <w:b/>
                <w:u w:val="single"/>
              </w:rPr>
              <w:t>Morand et al. (2020) - TULIP-2:</w:t>
            </w:r>
          </w:p>
          <w:p w14:paraId="01150677" w14:textId="4320D694" w:rsidR="00817793" w:rsidRDefault="002719FC">
            <w:pPr>
              <w:spacing w:before="120" w:after="120" w:line="240" w:lineRule="auto"/>
            </w:pPr>
            <w:r>
              <w:t xml:space="preserve">O estudo investiga o </w:t>
            </w:r>
            <w:proofErr w:type="spellStart"/>
            <w:r>
              <w:t>anifrolumab</w:t>
            </w:r>
            <w:r w:rsidR="00BC4D84">
              <w:t>e</w:t>
            </w:r>
            <w:proofErr w:type="spellEnd"/>
            <w:r>
              <w:t xml:space="preserve">, um anticorpo monoclonal humano direcionado ao receptor do interferon tipo I, no tratamento do Lúpus Eritematoso Sistêmico (LES). O ensaio clínico TULIP-2 é uma fase 3 que avaliou a eficácia do </w:t>
            </w:r>
            <w:proofErr w:type="spellStart"/>
            <w:r>
              <w:t>anifrolumab</w:t>
            </w:r>
            <w:r w:rsidR="00BC4D84">
              <w:t>e</w:t>
            </w:r>
            <w:proofErr w:type="spellEnd"/>
            <w:r>
              <w:t xml:space="preserve"> após resultados não conclusivos em um estudo anterior (TULIP-1) que não alcançou o ponto final primário esperado.</w:t>
            </w:r>
          </w:p>
          <w:p w14:paraId="4943BDE8" w14:textId="5DD4B352" w:rsidR="00817793" w:rsidRDefault="002719FC">
            <w:pPr>
              <w:spacing w:before="120" w:after="120" w:line="240" w:lineRule="auto"/>
            </w:pPr>
            <w:r>
              <w:t>Os pacientes incluídos no estudo apresentaram as seguintes características iniciais (baseline): a idade média foi de 41,1 anos no grupo placebo</w:t>
            </w:r>
            <w:r w:rsidRPr="00EC5EED">
              <w:t xml:space="preserve"> + tratamento </w:t>
            </w:r>
            <w:proofErr w:type="gramStart"/>
            <w:r w:rsidRPr="00EC5EED">
              <w:t>padrão(</w:t>
            </w:r>
            <w:proofErr w:type="gramEnd"/>
            <w:r w:rsidRPr="00EC5EED">
              <w:t>*)</w:t>
            </w:r>
            <w:r>
              <w:t xml:space="preserve"> e 43,1 anos no grupo </w:t>
            </w:r>
            <w:proofErr w:type="spellStart"/>
            <w:r>
              <w:t>anifrolumabe</w:t>
            </w:r>
            <w:proofErr w:type="spellEnd"/>
            <w:r>
              <w:t>. A maioria dos participantes era do sexo feminino, com 93,4% no grupo placebo</w:t>
            </w:r>
            <w:r w:rsidRPr="00EC5EED">
              <w:t xml:space="preserve"> + tratamento </w:t>
            </w:r>
            <w:proofErr w:type="gramStart"/>
            <w:r w:rsidRPr="00EC5EED">
              <w:t>padrão(</w:t>
            </w:r>
            <w:proofErr w:type="gramEnd"/>
            <w:r w:rsidRPr="00EC5EED">
              <w:t>*)</w:t>
            </w:r>
            <w:r>
              <w:t xml:space="preserve"> e 93,3% no grupo </w:t>
            </w:r>
            <w:proofErr w:type="spellStart"/>
            <w:r>
              <w:t>anifrolumabe</w:t>
            </w:r>
            <w:proofErr w:type="spellEnd"/>
            <w:r>
              <w:t>. Em relação à raça, 58,8% dos pacientes do grupo placebo</w:t>
            </w:r>
            <w:r w:rsidRPr="00EC5EED">
              <w:t xml:space="preserve"> + tratamento </w:t>
            </w:r>
            <w:proofErr w:type="gramStart"/>
            <w:r w:rsidRPr="00EC5EED">
              <w:t>padrão(</w:t>
            </w:r>
            <w:proofErr w:type="gramEnd"/>
            <w:r w:rsidRPr="00EC5EED">
              <w:t>*)</w:t>
            </w:r>
            <w:r>
              <w:t xml:space="preserve"> eram brancos, enquanto no grupo </w:t>
            </w:r>
            <w:proofErr w:type="spellStart"/>
            <w:r>
              <w:t>anifrolumab</w:t>
            </w:r>
            <w:r w:rsidR="00BC4D84">
              <w:t>e</w:t>
            </w:r>
            <w:proofErr w:type="spellEnd"/>
            <w:r>
              <w:t xml:space="preserve"> essa porcentagem foi de 61,1%. Além disso, a assinatura gênica de interferon tipo I alta foi observada em 83,0% dos pacientes do grupo placebo</w:t>
            </w:r>
            <w:r w:rsidRPr="00EC5EED">
              <w:t xml:space="preserve"> + tratamento </w:t>
            </w:r>
            <w:proofErr w:type="gramStart"/>
            <w:r w:rsidRPr="00EC5EED">
              <w:t>padrão(</w:t>
            </w:r>
            <w:proofErr w:type="gramEnd"/>
            <w:r w:rsidRPr="00EC5EED">
              <w:t>*)</w:t>
            </w:r>
            <w:r>
              <w:t xml:space="preserve"> e em 83,3% do grupo </w:t>
            </w:r>
            <w:proofErr w:type="spellStart"/>
            <w:r>
              <w:t>anifrolumabe</w:t>
            </w:r>
            <w:proofErr w:type="spellEnd"/>
            <w:r>
              <w:t>.</w:t>
            </w:r>
          </w:p>
          <w:p w14:paraId="2546A380" w14:textId="43F03C89" w:rsidR="00817793" w:rsidRDefault="002719FC">
            <w:pPr>
              <w:spacing w:before="120" w:after="120" w:line="240" w:lineRule="auto"/>
            </w:pPr>
            <w:r>
              <w:t>A pontuação média no SLEDAI-2K foi de 11,5 ± 3,9 no grupo placebo</w:t>
            </w:r>
            <w:r w:rsidRPr="00EC5EED">
              <w:t xml:space="preserve"> + tratamento </w:t>
            </w:r>
            <w:proofErr w:type="gramStart"/>
            <w:r w:rsidRPr="00EC5EED">
              <w:t>padrão(</w:t>
            </w:r>
            <w:proofErr w:type="gramEnd"/>
            <w:r w:rsidRPr="00EC5EED">
              <w:t>*)</w:t>
            </w:r>
            <w:r>
              <w:t xml:space="preserve"> e 11,4 ± 3,6 no grupo </w:t>
            </w:r>
            <w:proofErr w:type="spellStart"/>
            <w:r>
              <w:t>anifrolumabe</w:t>
            </w:r>
            <w:proofErr w:type="spellEnd"/>
            <w:r>
              <w:t xml:space="preserve">, indicando uma atividade moderada a grave </w:t>
            </w:r>
            <w:proofErr w:type="gramStart"/>
            <w:r>
              <w:t>do lúpus</w:t>
            </w:r>
            <w:proofErr w:type="gramEnd"/>
            <w:r>
              <w:t xml:space="preserve"> eritematoso sistêmico (LES). No que diz respeito ao uso de medicamentos no início do estudo, 83,0% dos pacientes do grupo placebo</w:t>
            </w:r>
            <w:r w:rsidRPr="00EC5EED">
              <w:t xml:space="preserve"> + tratamento </w:t>
            </w:r>
            <w:proofErr w:type="gramStart"/>
            <w:r w:rsidRPr="00EC5EED">
              <w:t>padrão(</w:t>
            </w:r>
            <w:proofErr w:type="gramEnd"/>
            <w:r w:rsidRPr="00EC5EED">
              <w:t>*)</w:t>
            </w:r>
            <w:r>
              <w:t xml:space="preserve"> e 78,3% do grupo </w:t>
            </w:r>
            <w:proofErr w:type="spellStart"/>
            <w:r>
              <w:t>anifrolumabe</w:t>
            </w:r>
            <w:proofErr w:type="spellEnd"/>
            <w:r>
              <w:t xml:space="preserve"> faziam uso de </w:t>
            </w:r>
            <w:proofErr w:type="spellStart"/>
            <w:r>
              <w:t>glucocorticoides</w:t>
            </w:r>
            <w:proofErr w:type="spellEnd"/>
            <w:r>
              <w:t>. Os agentes antimaláricos estavam presentes em 73,1% dos pacientes do grupo placebo</w:t>
            </w:r>
            <w:r w:rsidRPr="00EC5EED">
              <w:t xml:space="preserve"> + tratamento </w:t>
            </w:r>
            <w:proofErr w:type="gramStart"/>
            <w:r w:rsidRPr="00EC5EED">
              <w:t>padrão(</w:t>
            </w:r>
            <w:proofErr w:type="gramEnd"/>
            <w:r w:rsidRPr="00EC5EED">
              <w:t>*)</w:t>
            </w:r>
            <w:r>
              <w:t xml:space="preserve"> e em 66,1% do grupo </w:t>
            </w:r>
            <w:proofErr w:type="spellStart"/>
            <w:r>
              <w:t>anifrolumabe</w:t>
            </w:r>
            <w:proofErr w:type="spellEnd"/>
            <w:r>
              <w:t>. Por fim, os imunossupressores foram utilizados por 47,3% dos pacientes no grupo placebo</w:t>
            </w:r>
            <w:r w:rsidRPr="00EC5EED">
              <w:t xml:space="preserve"> + tratamento </w:t>
            </w:r>
            <w:proofErr w:type="gramStart"/>
            <w:r w:rsidRPr="00EC5EED">
              <w:t>padrão(</w:t>
            </w:r>
            <w:proofErr w:type="gramEnd"/>
            <w:r w:rsidRPr="00EC5EED">
              <w:t>*)</w:t>
            </w:r>
            <w:r>
              <w:t xml:space="preserve"> e 48,9% no grupo </w:t>
            </w:r>
            <w:proofErr w:type="spellStart"/>
            <w:r>
              <w:t>anifrolumabe</w:t>
            </w:r>
            <w:proofErr w:type="spellEnd"/>
            <w:r w:rsidR="00BC4D84">
              <w:t>.</w:t>
            </w:r>
          </w:p>
          <w:p w14:paraId="7C29E7AD" w14:textId="77777777" w:rsidR="00817793" w:rsidRDefault="002719FC">
            <w:pPr>
              <w:spacing w:before="120" w:after="120" w:line="240" w:lineRule="auto"/>
              <w:rPr>
                <w:b/>
                <w:i/>
              </w:rPr>
            </w:pPr>
            <w:r>
              <w:rPr>
                <w:b/>
                <w:i/>
              </w:rPr>
              <w:t>Critérios de Inclusão:</w:t>
            </w:r>
          </w:p>
          <w:p w14:paraId="04075DC5" w14:textId="77777777" w:rsidR="00817793" w:rsidRDefault="002719FC">
            <w:pPr>
              <w:numPr>
                <w:ilvl w:val="0"/>
                <w:numId w:val="5"/>
              </w:numPr>
              <w:spacing w:before="120" w:after="0" w:line="240" w:lineRule="auto"/>
            </w:pPr>
            <w:r>
              <w:t>Idade: Entre 18 e 70 anos.</w:t>
            </w:r>
          </w:p>
          <w:p w14:paraId="5DFF39DF" w14:textId="77777777" w:rsidR="00817793" w:rsidRDefault="002719FC">
            <w:pPr>
              <w:numPr>
                <w:ilvl w:val="0"/>
                <w:numId w:val="5"/>
              </w:numPr>
              <w:spacing w:before="0" w:after="0" w:line="240" w:lineRule="auto"/>
            </w:pPr>
            <w:r>
              <w:t xml:space="preserve">Diagnóstico: Atendiam aos critérios de classificação do </w:t>
            </w:r>
            <w:r w:rsidRPr="00625C08">
              <w:rPr>
                <w:i/>
                <w:iCs/>
              </w:rPr>
              <w:t xml:space="preserve">American </w:t>
            </w:r>
            <w:proofErr w:type="spellStart"/>
            <w:r w:rsidRPr="00625C08">
              <w:rPr>
                <w:i/>
                <w:iCs/>
              </w:rPr>
              <w:t>College</w:t>
            </w:r>
            <w:proofErr w:type="spellEnd"/>
            <w:r w:rsidRPr="00625C08">
              <w:rPr>
                <w:i/>
                <w:iCs/>
              </w:rPr>
              <w:t xml:space="preserve"> </w:t>
            </w:r>
            <w:proofErr w:type="spellStart"/>
            <w:r w:rsidRPr="00625C08">
              <w:rPr>
                <w:i/>
                <w:iCs/>
              </w:rPr>
              <w:t>of</w:t>
            </w:r>
            <w:proofErr w:type="spellEnd"/>
            <w:r w:rsidRPr="00625C08">
              <w:rPr>
                <w:i/>
                <w:iCs/>
              </w:rPr>
              <w:t xml:space="preserve"> </w:t>
            </w:r>
            <w:proofErr w:type="spellStart"/>
            <w:r w:rsidRPr="00625C08">
              <w:rPr>
                <w:i/>
                <w:iCs/>
              </w:rPr>
              <w:t>Rheumatology</w:t>
            </w:r>
            <w:proofErr w:type="spellEnd"/>
            <w:r>
              <w:t xml:space="preserve"> para LES.</w:t>
            </w:r>
          </w:p>
          <w:p w14:paraId="710E281F" w14:textId="77777777" w:rsidR="00817793" w:rsidRDefault="002719FC">
            <w:pPr>
              <w:numPr>
                <w:ilvl w:val="0"/>
                <w:numId w:val="5"/>
              </w:numPr>
              <w:spacing w:before="0" w:after="0" w:line="240" w:lineRule="auto"/>
            </w:pPr>
            <w:r>
              <w:lastRenderedPageBreak/>
              <w:t xml:space="preserve">Atividade da doença: Pontuação no SLEDAI-2K ≥ 6 (excluindo febre, cefaleia </w:t>
            </w:r>
            <w:proofErr w:type="spellStart"/>
            <w:r>
              <w:t>lúpica</w:t>
            </w:r>
            <w:proofErr w:type="spellEnd"/>
            <w:r>
              <w:t xml:space="preserve"> ou síndrome cerebral orgânica).</w:t>
            </w:r>
          </w:p>
          <w:p w14:paraId="3462129B" w14:textId="77777777" w:rsidR="00817793" w:rsidRDefault="002719FC">
            <w:pPr>
              <w:numPr>
                <w:ilvl w:val="0"/>
                <w:numId w:val="5"/>
              </w:numPr>
              <w:spacing w:before="0" w:after="0" w:line="240" w:lineRule="auto"/>
            </w:pPr>
            <w:r>
              <w:t>Pontuação clínica no SLEDAI-2K ≥ 4.</w:t>
            </w:r>
          </w:p>
          <w:p w14:paraId="3BD78E19" w14:textId="77777777" w:rsidR="00817793" w:rsidRDefault="002719FC">
            <w:pPr>
              <w:numPr>
                <w:ilvl w:val="0"/>
                <w:numId w:val="5"/>
              </w:numPr>
              <w:spacing w:before="0" w:after="0" w:line="240" w:lineRule="auto"/>
            </w:pPr>
            <w:r>
              <w:t>Atividade severa em pelo menos um órgão ou moderada em pelo menos dois órgãos, conforme o índice BILAG-2004 (≥1 item A ou ≥2 itens B).</w:t>
            </w:r>
          </w:p>
          <w:p w14:paraId="3D95D7CA" w14:textId="77777777" w:rsidR="00817793" w:rsidRDefault="002719FC">
            <w:pPr>
              <w:numPr>
                <w:ilvl w:val="0"/>
                <w:numId w:val="5"/>
              </w:numPr>
              <w:spacing w:before="0" w:after="0" w:line="240" w:lineRule="auto"/>
            </w:pPr>
            <w:r>
              <w:t>Pontuação na Avaliação Global do Médico (PGA) ≥ 1 (escala de 0 a 3).</w:t>
            </w:r>
          </w:p>
          <w:p w14:paraId="43A839D9" w14:textId="77777777" w:rsidR="00817793" w:rsidRDefault="002719FC">
            <w:pPr>
              <w:numPr>
                <w:ilvl w:val="0"/>
                <w:numId w:val="5"/>
              </w:numPr>
              <w:spacing w:before="0" w:after="0" w:line="240" w:lineRule="auto"/>
            </w:pPr>
            <w:r>
              <w:t xml:space="preserve">Sorologia: Soropositividade para anticorpos antinucleares, </w:t>
            </w:r>
            <w:proofErr w:type="spellStart"/>
            <w:r>
              <w:t>anti-DNA</w:t>
            </w:r>
            <w:proofErr w:type="spellEnd"/>
            <w:r>
              <w:t xml:space="preserve"> de fita dupla (</w:t>
            </w:r>
            <w:proofErr w:type="spellStart"/>
            <w:r>
              <w:t>anti-dsDNA</w:t>
            </w:r>
            <w:proofErr w:type="spellEnd"/>
            <w:r>
              <w:t xml:space="preserve">) ou </w:t>
            </w:r>
            <w:proofErr w:type="spellStart"/>
            <w:r>
              <w:t>anti-Smith</w:t>
            </w:r>
            <w:proofErr w:type="spellEnd"/>
            <w:r>
              <w:t>.</w:t>
            </w:r>
          </w:p>
          <w:p w14:paraId="2837D696" w14:textId="77777777" w:rsidR="00817793" w:rsidRDefault="002719FC">
            <w:pPr>
              <w:numPr>
                <w:ilvl w:val="0"/>
                <w:numId w:val="5"/>
              </w:numPr>
              <w:spacing w:before="0" w:after="120" w:line="240" w:lineRule="auto"/>
            </w:pPr>
            <w:r>
              <w:t xml:space="preserve">Tratamento Estável: Receber tratamento estável com pelo menos um dos seguintes medicamentos: </w:t>
            </w:r>
            <w:proofErr w:type="spellStart"/>
            <w:r>
              <w:t>Glucocorticoides</w:t>
            </w:r>
            <w:proofErr w:type="spellEnd"/>
            <w:r>
              <w:t xml:space="preserve"> (prednisona ou equivalente), Agentes antimaláricos e Imunossupressores (</w:t>
            </w:r>
            <w:proofErr w:type="spellStart"/>
            <w:r>
              <w:t>azatioprina</w:t>
            </w:r>
            <w:proofErr w:type="spellEnd"/>
            <w:r>
              <w:t xml:space="preserve">, </w:t>
            </w:r>
            <w:proofErr w:type="spellStart"/>
            <w:r>
              <w:t>micofenolato</w:t>
            </w:r>
            <w:proofErr w:type="spellEnd"/>
            <w:r>
              <w:t xml:space="preserve"> </w:t>
            </w:r>
            <w:proofErr w:type="spellStart"/>
            <w:r>
              <w:t>mofetil</w:t>
            </w:r>
            <w:proofErr w:type="spellEnd"/>
            <w:r>
              <w:t>, metotrexato, etc.</w:t>
            </w:r>
            <w:proofErr w:type="gramStart"/>
            <w:r>
              <w:t>) .</w:t>
            </w:r>
            <w:proofErr w:type="gramEnd"/>
          </w:p>
          <w:p w14:paraId="0B0F6CC3" w14:textId="1CEE16CD" w:rsidR="00817793" w:rsidRDefault="002719FC">
            <w:pPr>
              <w:spacing w:before="120" w:after="120" w:line="240" w:lineRule="auto"/>
              <w:rPr>
                <w:b/>
                <w:i/>
              </w:rPr>
            </w:pPr>
            <w:r>
              <w:rPr>
                <w:b/>
                <w:i/>
              </w:rPr>
              <w:t>Critérios de Exclusão</w:t>
            </w:r>
            <w:r w:rsidR="00EC5EED">
              <w:rPr>
                <w:b/>
                <w:i/>
              </w:rPr>
              <w:t>:</w:t>
            </w:r>
          </w:p>
          <w:p w14:paraId="790D7BC1" w14:textId="77777777" w:rsidR="00817793" w:rsidRDefault="002719FC">
            <w:pPr>
              <w:numPr>
                <w:ilvl w:val="0"/>
                <w:numId w:val="14"/>
              </w:numPr>
              <w:spacing w:before="120" w:after="0" w:line="240" w:lineRule="auto"/>
            </w:pPr>
            <w:r>
              <w:t>Lúpus nefrítico ativo severo ou LES neuropsiquiátrico ativo.</w:t>
            </w:r>
          </w:p>
          <w:p w14:paraId="5D5BBA35" w14:textId="77777777" w:rsidR="00817793" w:rsidRDefault="002719FC">
            <w:pPr>
              <w:numPr>
                <w:ilvl w:val="0"/>
                <w:numId w:val="14"/>
              </w:numPr>
              <w:spacing w:before="0" w:after="0" w:line="240" w:lineRule="auto"/>
            </w:pPr>
            <w:r>
              <w:t>Uso recente de medicamentos restritos pelo protocolo, como agentes biológicos ou imunossupressores não permitidos.</w:t>
            </w:r>
          </w:p>
          <w:p w14:paraId="01F6E894" w14:textId="77777777" w:rsidR="00817793" w:rsidRDefault="002719FC">
            <w:pPr>
              <w:numPr>
                <w:ilvl w:val="0"/>
                <w:numId w:val="14"/>
              </w:numPr>
              <w:spacing w:before="0" w:after="0" w:line="240" w:lineRule="auto"/>
            </w:pPr>
            <w:r>
              <w:t>Condições médicas graves que poderiam interferir na segurança ou nos resultados do estudo.</w:t>
            </w:r>
          </w:p>
          <w:p w14:paraId="73CC5DAF" w14:textId="77777777" w:rsidR="00817793" w:rsidRDefault="002719FC">
            <w:pPr>
              <w:numPr>
                <w:ilvl w:val="0"/>
                <w:numId w:val="14"/>
              </w:numPr>
              <w:spacing w:before="0" w:after="0" w:line="240" w:lineRule="auto"/>
            </w:pPr>
            <w:r>
              <w:t>Gravidez ou lactação.</w:t>
            </w:r>
          </w:p>
          <w:p w14:paraId="7A79AF34" w14:textId="77777777" w:rsidR="00817793" w:rsidRDefault="002719FC">
            <w:pPr>
              <w:numPr>
                <w:ilvl w:val="0"/>
                <w:numId w:val="14"/>
              </w:numPr>
              <w:spacing w:before="0" w:after="0" w:line="240" w:lineRule="auto"/>
            </w:pPr>
            <w:r>
              <w:t>Histórico de reações graves a medicamentos ou hipersensibilidade a infusões intravenosas.</w:t>
            </w:r>
          </w:p>
          <w:p w14:paraId="42AA8DC3" w14:textId="6E9535BC" w:rsidR="00817793" w:rsidRDefault="002719FC">
            <w:pPr>
              <w:numPr>
                <w:ilvl w:val="0"/>
                <w:numId w:val="14"/>
              </w:numPr>
              <w:spacing w:before="0" w:after="120" w:line="240" w:lineRule="auto"/>
            </w:pPr>
            <w:r>
              <w:t>Infecções ativas ou crônicas severas, como tuberculose ou hepatite ativa.</w:t>
            </w:r>
          </w:p>
          <w:p w14:paraId="6AA258D8" w14:textId="77777777" w:rsidR="00817793" w:rsidRDefault="00817793">
            <w:pPr>
              <w:spacing w:before="120" w:after="120" w:line="240" w:lineRule="auto"/>
            </w:pPr>
          </w:p>
          <w:p w14:paraId="255C055F" w14:textId="5D340F4D" w:rsidR="00817793" w:rsidRPr="004B4CDB" w:rsidRDefault="002719FC">
            <w:pPr>
              <w:spacing w:before="120" w:after="120" w:line="240" w:lineRule="auto"/>
              <w:rPr>
                <w:b/>
                <w:u w:val="single"/>
                <w:lang w:val="de-DE"/>
              </w:rPr>
            </w:pPr>
            <w:r w:rsidRPr="004B4CDB">
              <w:rPr>
                <w:b/>
                <w:u w:val="single"/>
                <w:lang w:val="de-DE"/>
              </w:rPr>
              <w:t>Kalunian</w:t>
            </w:r>
            <w:r w:rsidR="004B4CDB" w:rsidRPr="004B4CDB">
              <w:rPr>
                <w:b/>
                <w:u w:val="single"/>
                <w:lang w:val="de-DE"/>
              </w:rPr>
              <w:t xml:space="preserve"> et al.</w:t>
            </w:r>
            <w:r w:rsidRPr="004B4CDB">
              <w:rPr>
                <w:b/>
                <w:u w:val="single"/>
                <w:lang w:val="de-DE"/>
              </w:rPr>
              <w:t xml:space="preserve"> (2023) - TULIP-LTE:</w:t>
            </w:r>
          </w:p>
          <w:p w14:paraId="766936EE" w14:textId="77777777" w:rsidR="00817793" w:rsidRDefault="002719FC">
            <w:pPr>
              <w:spacing w:before="120" w:after="120" w:line="240" w:lineRule="auto"/>
            </w:pPr>
            <w:r>
              <w:t xml:space="preserve">O estudo investiga a segurança e tolerabilidade a longo prazo do </w:t>
            </w:r>
            <w:proofErr w:type="spellStart"/>
            <w:r>
              <w:t>anifrolumabe</w:t>
            </w:r>
            <w:proofErr w:type="spellEnd"/>
            <w:r>
              <w:t xml:space="preserve"> (300 mg) em pacientes com lúpus eritematoso sistêmico (LES) moderado a grave que completaram os estudos TULIP-1 e TULIP-2, por meio de um estudo de extensão controlado por placebo</w:t>
            </w:r>
            <w:r w:rsidRPr="00EC5EED">
              <w:t xml:space="preserve"> + tratamento </w:t>
            </w:r>
            <w:proofErr w:type="gramStart"/>
            <w:r w:rsidRPr="00EC5EED">
              <w:t>padrão(</w:t>
            </w:r>
            <w:proofErr w:type="gramEnd"/>
            <w:r w:rsidRPr="00EC5EED">
              <w:t>*)</w:t>
            </w:r>
            <w:r>
              <w:t xml:space="preserve"> com duração de 3 anos.</w:t>
            </w:r>
          </w:p>
          <w:p w14:paraId="59DF9EA7" w14:textId="77777777" w:rsidR="00817793" w:rsidRDefault="002719FC">
            <w:pPr>
              <w:spacing w:before="120" w:after="120" w:line="240" w:lineRule="auto"/>
            </w:pPr>
            <w:r>
              <w:t xml:space="preserve">Na baseline do estudo as características foram as seguintes: a idade média foi de 43,4 anos para o grupo </w:t>
            </w:r>
            <w:proofErr w:type="spellStart"/>
            <w:r>
              <w:t>anifrolumabe</w:t>
            </w:r>
            <w:proofErr w:type="spellEnd"/>
            <w:r>
              <w:t xml:space="preserve"> 300 mg e 41,4 anos para o grupo placebo</w:t>
            </w:r>
            <w:r w:rsidRPr="00EC5EED">
              <w:t xml:space="preserve"> + tratamento </w:t>
            </w:r>
            <w:proofErr w:type="gramStart"/>
            <w:r w:rsidRPr="00EC5EED">
              <w:t>padrão(</w:t>
            </w:r>
            <w:proofErr w:type="gramEnd"/>
            <w:r w:rsidRPr="00EC5EED">
              <w:t>*)</w:t>
            </w:r>
            <w:r>
              <w:t xml:space="preserve">. Em relação ao sexo, 92,2% das pacientes eram do sexo feminino no grupo </w:t>
            </w:r>
            <w:proofErr w:type="spellStart"/>
            <w:r>
              <w:t>anifrolumabe</w:t>
            </w:r>
            <w:proofErr w:type="spellEnd"/>
            <w:r>
              <w:t>, enquanto no grupo placebo</w:t>
            </w:r>
            <w:r w:rsidRPr="00EC5EED">
              <w:t xml:space="preserve"> + tratamento </w:t>
            </w:r>
            <w:proofErr w:type="gramStart"/>
            <w:r w:rsidRPr="00EC5EED">
              <w:t>padrão(</w:t>
            </w:r>
            <w:proofErr w:type="gramEnd"/>
            <w:r w:rsidRPr="00EC5EED">
              <w:t>*)</w:t>
            </w:r>
            <w:r>
              <w:t xml:space="preserve"> essa porcentagem foi de 92,0%. Quanto à raça, 67,3% dos pacientes do grupo </w:t>
            </w:r>
            <w:proofErr w:type="spellStart"/>
            <w:r>
              <w:t>anifrolumabe</w:t>
            </w:r>
            <w:proofErr w:type="spellEnd"/>
            <w:r>
              <w:t xml:space="preserve"> eram brancos, em comparação a 68,8% no grupo placebo</w:t>
            </w:r>
            <w:r w:rsidRPr="00EC5EED">
              <w:t xml:space="preserve"> + tratamento </w:t>
            </w:r>
            <w:proofErr w:type="gramStart"/>
            <w:r w:rsidRPr="00EC5EED">
              <w:t>padrão(</w:t>
            </w:r>
            <w:proofErr w:type="gramEnd"/>
            <w:r w:rsidRPr="00EC5EED">
              <w:t>*)</w:t>
            </w:r>
            <w:r>
              <w:t>.</w:t>
            </w:r>
          </w:p>
          <w:p w14:paraId="3B557844" w14:textId="77777777" w:rsidR="00817793" w:rsidRDefault="002719FC">
            <w:pPr>
              <w:spacing w:before="120" w:after="120" w:line="240" w:lineRule="auto"/>
            </w:pPr>
            <w:r>
              <w:t xml:space="preserve">Em relação às características da doença, o escore médio de SLEDAI-2K foi de 11,2 para o grupo </w:t>
            </w:r>
            <w:proofErr w:type="spellStart"/>
            <w:r>
              <w:t>anifrolumabe</w:t>
            </w:r>
            <w:proofErr w:type="spellEnd"/>
            <w:r>
              <w:t xml:space="preserve"> e 11,3 para o grupo placebo</w:t>
            </w:r>
            <w:r w:rsidRPr="00EC5EED">
              <w:t xml:space="preserve"> + tratamento </w:t>
            </w:r>
            <w:proofErr w:type="gramStart"/>
            <w:r w:rsidRPr="00EC5EED">
              <w:t>padrão(</w:t>
            </w:r>
            <w:proofErr w:type="gramEnd"/>
            <w:r w:rsidRPr="00EC5EED">
              <w:t>*)</w:t>
            </w:r>
            <w:r>
              <w:t xml:space="preserve">. Além disso, 71,6% dos pacientes no grupo </w:t>
            </w:r>
            <w:proofErr w:type="spellStart"/>
            <w:r>
              <w:t>anifrolumabe</w:t>
            </w:r>
            <w:proofErr w:type="spellEnd"/>
            <w:r>
              <w:t xml:space="preserve"> e 71,4% no grupo placebo</w:t>
            </w:r>
            <w:r w:rsidRPr="00EC5EED">
              <w:t xml:space="preserve"> + tratamento </w:t>
            </w:r>
            <w:proofErr w:type="gramStart"/>
            <w:r w:rsidRPr="00EC5EED">
              <w:t>padrão(</w:t>
            </w:r>
            <w:proofErr w:type="gramEnd"/>
            <w:r w:rsidRPr="00EC5EED">
              <w:t>*)</w:t>
            </w:r>
            <w:r>
              <w:t xml:space="preserve"> apresentaram um escore SLEDAI-2K ≥ 10.</w:t>
            </w:r>
          </w:p>
          <w:p w14:paraId="67230327" w14:textId="77777777" w:rsidR="00817793" w:rsidRDefault="002719FC">
            <w:pPr>
              <w:spacing w:before="120" w:after="120" w:line="240" w:lineRule="auto"/>
            </w:pPr>
            <w:r>
              <w:t xml:space="preserve">Durante a transição para o estudo de extensão (LTE), ocorreram as seguintes alterações de medicamentos: 257 pacientes continuaram recebendo </w:t>
            </w:r>
            <w:proofErr w:type="spellStart"/>
            <w:r>
              <w:t>anifrolumabe</w:t>
            </w:r>
            <w:proofErr w:type="spellEnd"/>
            <w:r>
              <w:t xml:space="preserve"> 300 mg; 67 pacientes mudaram de </w:t>
            </w:r>
            <w:proofErr w:type="spellStart"/>
            <w:r>
              <w:t>anifrolumabe</w:t>
            </w:r>
            <w:proofErr w:type="spellEnd"/>
            <w:r>
              <w:t xml:space="preserve"> 150 mg para 300 mg; 223 pacientes que receberam placebo</w:t>
            </w:r>
            <w:r w:rsidRPr="00EC5EED">
              <w:t xml:space="preserve"> + tratamento </w:t>
            </w:r>
            <w:proofErr w:type="gramStart"/>
            <w:r w:rsidRPr="00EC5EED">
              <w:t>padrão(</w:t>
            </w:r>
            <w:proofErr w:type="gramEnd"/>
            <w:r w:rsidRPr="00EC5EED">
              <w:t>*)</w:t>
            </w:r>
            <w:r>
              <w:t xml:space="preserve"> nos estudos TULIP foram </w:t>
            </w:r>
            <w:proofErr w:type="spellStart"/>
            <w:r>
              <w:t>re-randomizados</w:t>
            </w:r>
            <w:proofErr w:type="spellEnd"/>
            <w:r>
              <w:t xml:space="preserve">: 111 pacientes passaram a receber </w:t>
            </w:r>
            <w:proofErr w:type="spellStart"/>
            <w:r>
              <w:t>anifrolumabe</w:t>
            </w:r>
            <w:proofErr w:type="spellEnd"/>
            <w:r>
              <w:t xml:space="preserve"> 300 mg </w:t>
            </w:r>
            <w:r>
              <w:lastRenderedPageBreak/>
              <w:t>e 112 pacientes continuaram recebendo placebo</w:t>
            </w:r>
            <w:r w:rsidRPr="00EC5EED">
              <w:t xml:space="preserve"> + tratamento </w:t>
            </w:r>
            <w:proofErr w:type="gramStart"/>
            <w:r w:rsidRPr="00EC5EED">
              <w:t>padrão(</w:t>
            </w:r>
            <w:proofErr w:type="gramEnd"/>
            <w:r w:rsidRPr="00EC5EED">
              <w:t>*)</w:t>
            </w:r>
            <w:r>
              <w:t>. Portanto, o total de pacientes foi 547, com diferentes distribuições entre os grupos de tratamento.</w:t>
            </w:r>
          </w:p>
          <w:p w14:paraId="73C95B34" w14:textId="77777777" w:rsidR="00817793" w:rsidRDefault="002719FC">
            <w:pPr>
              <w:spacing w:before="120" w:after="120" w:line="240" w:lineRule="auto"/>
              <w:rPr>
                <w:b/>
                <w:i/>
              </w:rPr>
            </w:pPr>
            <w:r>
              <w:rPr>
                <w:b/>
                <w:i/>
              </w:rPr>
              <w:t>Critérios de Inclusão:</w:t>
            </w:r>
          </w:p>
          <w:p w14:paraId="723E7625" w14:textId="77777777" w:rsidR="00817793" w:rsidRDefault="002719FC">
            <w:pPr>
              <w:numPr>
                <w:ilvl w:val="0"/>
                <w:numId w:val="5"/>
              </w:numPr>
              <w:spacing w:before="120" w:after="0" w:line="240" w:lineRule="auto"/>
            </w:pPr>
            <w:r>
              <w:t>Pacientes que completaram o período de tratamento de 52 semanas dos estudos TULIP-1 ou TULIP-2.</w:t>
            </w:r>
          </w:p>
          <w:p w14:paraId="6004F7B9" w14:textId="77777777" w:rsidR="00817793" w:rsidRDefault="002719FC">
            <w:pPr>
              <w:numPr>
                <w:ilvl w:val="0"/>
                <w:numId w:val="5"/>
              </w:numPr>
              <w:spacing w:before="0" w:after="0" w:line="240" w:lineRule="auto"/>
            </w:pPr>
            <w:r>
              <w:t>Diagnóstico de LES moderado a grave.</w:t>
            </w:r>
          </w:p>
          <w:p w14:paraId="4A8DD35C" w14:textId="77777777" w:rsidR="00817793" w:rsidRDefault="002719FC">
            <w:pPr>
              <w:numPr>
                <w:ilvl w:val="0"/>
                <w:numId w:val="5"/>
              </w:numPr>
              <w:spacing w:before="0" w:after="120" w:line="240" w:lineRule="auto"/>
            </w:pPr>
            <w:r>
              <w:t xml:space="preserve">Necessidade de tratamento contínuo com </w:t>
            </w:r>
            <w:proofErr w:type="spellStart"/>
            <w:r>
              <w:t>anifrolumabe</w:t>
            </w:r>
            <w:proofErr w:type="spellEnd"/>
            <w:r>
              <w:t xml:space="preserve"> ou placebo</w:t>
            </w:r>
            <w:r>
              <w:rPr>
                <w:sz w:val="20"/>
                <w:szCs w:val="20"/>
              </w:rPr>
              <w:t xml:space="preserve"> + tratamento </w:t>
            </w:r>
            <w:proofErr w:type="gramStart"/>
            <w:r>
              <w:rPr>
                <w:sz w:val="20"/>
                <w:szCs w:val="20"/>
              </w:rPr>
              <w:t>padrão(</w:t>
            </w:r>
            <w:proofErr w:type="gramEnd"/>
            <w:r>
              <w:rPr>
                <w:sz w:val="20"/>
                <w:szCs w:val="20"/>
              </w:rPr>
              <w:t>*)</w:t>
            </w:r>
            <w:r>
              <w:t>.</w:t>
            </w:r>
          </w:p>
          <w:p w14:paraId="02FFFF77" w14:textId="74ED86F1" w:rsidR="00817793" w:rsidRDefault="002719FC">
            <w:pPr>
              <w:spacing w:before="120" w:after="120" w:line="240" w:lineRule="auto"/>
              <w:rPr>
                <w:b/>
                <w:i/>
              </w:rPr>
            </w:pPr>
            <w:r>
              <w:rPr>
                <w:b/>
                <w:i/>
              </w:rPr>
              <w:t>Critérios de Exclusão</w:t>
            </w:r>
            <w:r w:rsidR="00EC5EED">
              <w:rPr>
                <w:b/>
                <w:i/>
              </w:rPr>
              <w:t>:</w:t>
            </w:r>
          </w:p>
          <w:p w14:paraId="5C5DBE18" w14:textId="77777777" w:rsidR="00817793" w:rsidRDefault="002719FC">
            <w:pPr>
              <w:numPr>
                <w:ilvl w:val="0"/>
                <w:numId w:val="14"/>
              </w:numPr>
              <w:spacing w:before="120" w:after="0" w:line="240" w:lineRule="auto"/>
            </w:pPr>
            <w:r>
              <w:t>Qualquer condição que interferisse na avaliação do estudo.</w:t>
            </w:r>
          </w:p>
          <w:p w14:paraId="50A0E79E" w14:textId="77777777" w:rsidR="00817793" w:rsidRDefault="002719FC">
            <w:pPr>
              <w:numPr>
                <w:ilvl w:val="0"/>
                <w:numId w:val="14"/>
              </w:numPr>
              <w:spacing w:before="0" w:after="0" w:line="240" w:lineRule="auto"/>
            </w:pPr>
            <w:r>
              <w:t>Participação em outro estudo clínico simultaneamente.</w:t>
            </w:r>
          </w:p>
          <w:p w14:paraId="5BFD8ECD" w14:textId="77777777" w:rsidR="00817793" w:rsidRDefault="002719FC">
            <w:pPr>
              <w:numPr>
                <w:ilvl w:val="0"/>
                <w:numId w:val="14"/>
              </w:numPr>
              <w:spacing w:before="0" w:after="120" w:line="240" w:lineRule="auto"/>
            </w:pPr>
            <w:r>
              <w:t xml:space="preserve">Uso de doses clínicas acima do padrão de medicamentos como </w:t>
            </w:r>
            <w:proofErr w:type="spellStart"/>
            <w:r>
              <w:t>azatioprina</w:t>
            </w:r>
            <w:proofErr w:type="spellEnd"/>
            <w:r>
              <w:t>, metotrexato, ou outros imunossupressores nos 60 dias anteriores ao estudo.</w:t>
            </w:r>
          </w:p>
        </w:tc>
      </w:tr>
    </w:tbl>
    <w:p w14:paraId="717EE18D" w14:textId="5AB4877C" w:rsidR="00817793" w:rsidRDefault="002719FC">
      <w:pPr>
        <w:rPr>
          <w:smallCaps/>
        </w:rPr>
      </w:pPr>
      <w:r>
        <w:rPr>
          <w:smallCaps/>
        </w:rPr>
        <w:lastRenderedPageBreak/>
        <w:t>Legenda: (*) Os pacientes estavam em tratamento estável com pelo menos um dos seguintes medicamentos: Corticosteroides orais (como a prednisona) ou equivalente</w:t>
      </w:r>
      <w:r w:rsidR="00EC5EED">
        <w:rPr>
          <w:smallCaps/>
        </w:rPr>
        <w:t>;</w:t>
      </w:r>
      <w:r>
        <w:rPr>
          <w:smallCaps/>
        </w:rPr>
        <w:t xml:space="preserve"> Antimaláricos (como a hidroxicloroquina)</w:t>
      </w:r>
      <w:r w:rsidR="00EC5EED">
        <w:rPr>
          <w:smallCaps/>
        </w:rPr>
        <w:t>;</w:t>
      </w:r>
      <w:r>
        <w:rPr>
          <w:smallCaps/>
        </w:rPr>
        <w:t xml:space="preserve"> Imunossupressores </w:t>
      </w:r>
      <w:r w:rsidR="00EC5EED">
        <w:rPr>
          <w:smallCaps/>
        </w:rPr>
        <w:t>(</w:t>
      </w:r>
      <w:r>
        <w:rPr>
          <w:smallCaps/>
        </w:rPr>
        <w:t xml:space="preserve">incluindo: </w:t>
      </w:r>
      <w:proofErr w:type="spellStart"/>
      <w:r>
        <w:rPr>
          <w:smallCaps/>
        </w:rPr>
        <w:t>Azatioprina</w:t>
      </w:r>
      <w:proofErr w:type="spellEnd"/>
      <w:r>
        <w:rPr>
          <w:smallCaps/>
        </w:rPr>
        <w:t xml:space="preserve">, </w:t>
      </w:r>
      <w:proofErr w:type="spellStart"/>
      <w:r>
        <w:rPr>
          <w:smallCaps/>
        </w:rPr>
        <w:t>Mizoribina</w:t>
      </w:r>
      <w:proofErr w:type="spellEnd"/>
      <w:r>
        <w:rPr>
          <w:smallCaps/>
        </w:rPr>
        <w:t xml:space="preserve">, </w:t>
      </w:r>
      <w:proofErr w:type="spellStart"/>
      <w:r>
        <w:rPr>
          <w:smallCaps/>
        </w:rPr>
        <w:t>Micofenolato</w:t>
      </w:r>
      <w:proofErr w:type="spellEnd"/>
      <w:r>
        <w:rPr>
          <w:smallCaps/>
        </w:rPr>
        <w:t xml:space="preserve"> </w:t>
      </w:r>
      <w:proofErr w:type="spellStart"/>
      <w:r>
        <w:rPr>
          <w:smallCaps/>
        </w:rPr>
        <w:t>mofetil</w:t>
      </w:r>
      <w:proofErr w:type="spellEnd"/>
      <w:r>
        <w:rPr>
          <w:smallCaps/>
        </w:rPr>
        <w:t xml:space="preserve"> ou ácido </w:t>
      </w:r>
      <w:proofErr w:type="spellStart"/>
      <w:r>
        <w:rPr>
          <w:smallCaps/>
        </w:rPr>
        <w:t>micofenólico</w:t>
      </w:r>
      <w:proofErr w:type="spellEnd"/>
      <w:r>
        <w:rPr>
          <w:smallCaps/>
        </w:rPr>
        <w:t>, Metotrexato</w:t>
      </w:r>
      <w:r w:rsidR="00EC5EED">
        <w:rPr>
          <w:smallCaps/>
        </w:rPr>
        <w:t>)</w:t>
      </w:r>
      <w:r>
        <w:rPr>
          <w:smallCaps/>
        </w:rPr>
        <w:t>.</w:t>
      </w:r>
    </w:p>
    <w:p w14:paraId="115ACA69" w14:textId="77777777" w:rsidR="00817793" w:rsidRDefault="002719FC">
      <w:pPr>
        <w:spacing w:line="240" w:lineRule="auto"/>
        <w:rPr>
          <w:b/>
          <w:sz w:val="24"/>
          <w:szCs w:val="24"/>
        </w:rPr>
      </w:pPr>
      <w:r>
        <w:rPr>
          <w:b/>
          <w:sz w:val="24"/>
          <w:szCs w:val="24"/>
        </w:rPr>
        <w:t>5.5.2 Resultados dos estudos incluídos</w:t>
      </w:r>
    </w:p>
    <w:p w14:paraId="20E45876" w14:textId="77777777" w:rsidR="00817793" w:rsidRDefault="002719FC">
      <w:pPr>
        <w:pStyle w:val="Ttulo4"/>
        <w:spacing w:before="0" w:after="160" w:line="259" w:lineRule="auto"/>
      </w:pPr>
      <w:bookmarkStart w:id="33" w:name="_m3wd3yzatbga" w:colFirst="0" w:colLast="0"/>
      <w:bookmarkEnd w:id="33"/>
      <w:r>
        <w:rPr>
          <w:b/>
        </w:rPr>
        <w:t>Quadro 13.</w:t>
      </w:r>
      <w:r>
        <w:t xml:space="preserve"> Resultados, por desfecho, dos estudos incluídos na análise do PARECERISTA</w:t>
      </w:r>
    </w:p>
    <w:tbl>
      <w:tblPr>
        <w:tblStyle w:val="af5"/>
        <w:tblW w:w="9090" w:type="dxa"/>
        <w:tblInd w:w="-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15"/>
        <w:gridCol w:w="1515"/>
        <w:gridCol w:w="1380"/>
        <w:gridCol w:w="1650"/>
        <w:gridCol w:w="1530"/>
        <w:gridCol w:w="1500"/>
      </w:tblGrid>
      <w:tr w:rsidR="00817793" w14:paraId="36057003" w14:textId="77777777">
        <w:tc>
          <w:tcPr>
            <w:tcW w:w="1515" w:type="dxa"/>
          </w:tcPr>
          <w:p w14:paraId="7D1431DE" w14:textId="77777777" w:rsidR="00817793" w:rsidRDefault="002719FC">
            <w:pPr>
              <w:spacing w:before="120" w:after="120"/>
              <w:jc w:val="center"/>
              <w:rPr>
                <w:b/>
                <w:sz w:val="20"/>
                <w:szCs w:val="20"/>
              </w:rPr>
            </w:pPr>
            <w:r>
              <w:rPr>
                <w:b/>
                <w:sz w:val="20"/>
                <w:szCs w:val="20"/>
              </w:rPr>
              <w:t>Estudo (Autor, ano)</w:t>
            </w:r>
          </w:p>
        </w:tc>
        <w:tc>
          <w:tcPr>
            <w:tcW w:w="1515" w:type="dxa"/>
          </w:tcPr>
          <w:p w14:paraId="693E018A" w14:textId="77777777" w:rsidR="00817793" w:rsidRDefault="002719FC">
            <w:pPr>
              <w:spacing w:before="120" w:after="120"/>
              <w:jc w:val="center"/>
              <w:rPr>
                <w:b/>
                <w:sz w:val="20"/>
                <w:szCs w:val="20"/>
              </w:rPr>
            </w:pPr>
            <w:r>
              <w:rPr>
                <w:b/>
                <w:sz w:val="20"/>
                <w:szCs w:val="20"/>
              </w:rPr>
              <w:t xml:space="preserve">Desfecho </w:t>
            </w:r>
            <w:proofErr w:type="gramStart"/>
            <w:r>
              <w:rPr>
                <w:b/>
                <w:sz w:val="20"/>
                <w:szCs w:val="20"/>
              </w:rPr>
              <w:t>Primário(</w:t>
            </w:r>
            <w:proofErr w:type="gramEnd"/>
            <w:r>
              <w:rPr>
                <w:b/>
                <w:sz w:val="20"/>
                <w:szCs w:val="20"/>
              </w:rPr>
              <w:t>*)</w:t>
            </w:r>
          </w:p>
          <w:p w14:paraId="79076240" w14:textId="77777777" w:rsidR="00817793" w:rsidRDefault="002719FC">
            <w:pPr>
              <w:spacing w:before="120" w:after="120"/>
              <w:jc w:val="center"/>
              <w:rPr>
                <w:sz w:val="20"/>
                <w:szCs w:val="20"/>
              </w:rPr>
            </w:pPr>
            <w:r>
              <w:rPr>
                <w:sz w:val="20"/>
                <w:szCs w:val="20"/>
              </w:rPr>
              <w:t xml:space="preserve">Índice SLE Responder Index-4 (SRI-4) </w:t>
            </w:r>
          </w:p>
          <w:p w14:paraId="0918B1CB" w14:textId="77777777" w:rsidR="00817793" w:rsidRDefault="002719FC">
            <w:pPr>
              <w:spacing w:before="120" w:after="120"/>
              <w:jc w:val="center"/>
              <w:rPr>
                <w:sz w:val="20"/>
                <w:szCs w:val="20"/>
              </w:rPr>
            </w:pPr>
            <w:r>
              <w:rPr>
                <w:sz w:val="20"/>
                <w:szCs w:val="20"/>
              </w:rPr>
              <w:t>SEMANA 52</w:t>
            </w:r>
          </w:p>
          <w:p w14:paraId="6FFBD3EC" w14:textId="77777777" w:rsidR="00817793" w:rsidRDefault="00817793">
            <w:pPr>
              <w:spacing w:before="120" w:after="120"/>
              <w:jc w:val="center"/>
              <w:rPr>
                <w:b/>
                <w:sz w:val="20"/>
                <w:szCs w:val="20"/>
              </w:rPr>
            </w:pPr>
          </w:p>
          <w:p w14:paraId="30DCCCAD" w14:textId="77777777" w:rsidR="00817793" w:rsidRDefault="00817793">
            <w:pPr>
              <w:spacing w:before="120" w:after="120"/>
              <w:jc w:val="center"/>
              <w:rPr>
                <w:sz w:val="20"/>
                <w:szCs w:val="20"/>
              </w:rPr>
            </w:pPr>
          </w:p>
          <w:p w14:paraId="36AF6883" w14:textId="77777777" w:rsidR="00817793" w:rsidRDefault="00817793">
            <w:pPr>
              <w:spacing w:before="120" w:after="120"/>
              <w:jc w:val="center"/>
              <w:rPr>
                <w:b/>
                <w:sz w:val="20"/>
                <w:szCs w:val="20"/>
              </w:rPr>
            </w:pPr>
          </w:p>
        </w:tc>
        <w:tc>
          <w:tcPr>
            <w:tcW w:w="1380" w:type="dxa"/>
          </w:tcPr>
          <w:p w14:paraId="34B0BE4D" w14:textId="77777777" w:rsidR="00817793" w:rsidRDefault="002719FC">
            <w:pPr>
              <w:spacing w:before="120" w:after="120"/>
              <w:jc w:val="center"/>
              <w:rPr>
                <w:b/>
                <w:sz w:val="20"/>
                <w:szCs w:val="20"/>
              </w:rPr>
            </w:pPr>
            <w:r>
              <w:rPr>
                <w:b/>
                <w:sz w:val="20"/>
                <w:szCs w:val="20"/>
              </w:rPr>
              <w:t xml:space="preserve">Desfecho </w:t>
            </w:r>
            <w:proofErr w:type="gramStart"/>
            <w:r>
              <w:rPr>
                <w:b/>
                <w:sz w:val="20"/>
                <w:szCs w:val="20"/>
              </w:rPr>
              <w:t>Primário(</w:t>
            </w:r>
            <w:proofErr w:type="gramEnd"/>
            <w:r>
              <w:rPr>
                <w:b/>
                <w:sz w:val="20"/>
                <w:szCs w:val="20"/>
              </w:rPr>
              <w:t>*)</w:t>
            </w:r>
          </w:p>
          <w:p w14:paraId="5F88E3CC" w14:textId="77777777" w:rsidR="00817793" w:rsidRDefault="002719FC">
            <w:pPr>
              <w:spacing w:before="120" w:after="120"/>
              <w:jc w:val="center"/>
              <w:rPr>
                <w:sz w:val="20"/>
                <w:szCs w:val="20"/>
              </w:rPr>
            </w:pPr>
            <w:r>
              <w:rPr>
                <w:sz w:val="20"/>
                <w:szCs w:val="20"/>
              </w:rPr>
              <w:t>Índice BICLA</w:t>
            </w:r>
          </w:p>
          <w:p w14:paraId="6231DADA" w14:textId="77777777" w:rsidR="00817793" w:rsidRDefault="002719FC">
            <w:pPr>
              <w:spacing w:before="120" w:after="120"/>
              <w:jc w:val="center"/>
              <w:rPr>
                <w:sz w:val="20"/>
                <w:szCs w:val="20"/>
              </w:rPr>
            </w:pPr>
            <w:r>
              <w:rPr>
                <w:sz w:val="20"/>
                <w:szCs w:val="20"/>
              </w:rPr>
              <w:t>SEMANA 52</w:t>
            </w:r>
          </w:p>
        </w:tc>
        <w:tc>
          <w:tcPr>
            <w:tcW w:w="1650" w:type="dxa"/>
          </w:tcPr>
          <w:p w14:paraId="17ED48DA" w14:textId="77777777" w:rsidR="00817793" w:rsidRDefault="002719FC">
            <w:pPr>
              <w:spacing w:before="120" w:after="120"/>
              <w:jc w:val="center"/>
              <w:rPr>
                <w:b/>
                <w:sz w:val="20"/>
                <w:szCs w:val="20"/>
              </w:rPr>
            </w:pPr>
            <w:r>
              <w:rPr>
                <w:b/>
                <w:sz w:val="20"/>
                <w:szCs w:val="20"/>
              </w:rPr>
              <w:t xml:space="preserve">Desfecho </w:t>
            </w:r>
            <w:proofErr w:type="gramStart"/>
            <w:r>
              <w:rPr>
                <w:b/>
                <w:sz w:val="20"/>
                <w:szCs w:val="20"/>
              </w:rPr>
              <w:t>Primário(</w:t>
            </w:r>
            <w:proofErr w:type="gramEnd"/>
            <w:r>
              <w:rPr>
                <w:b/>
                <w:sz w:val="20"/>
                <w:szCs w:val="20"/>
              </w:rPr>
              <w:t>*)</w:t>
            </w:r>
          </w:p>
          <w:p w14:paraId="70A71FBA" w14:textId="77777777" w:rsidR="00817793" w:rsidRDefault="002719FC">
            <w:pPr>
              <w:spacing w:before="120" w:after="120"/>
              <w:jc w:val="center"/>
              <w:rPr>
                <w:b/>
                <w:sz w:val="20"/>
                <w:szCs w:val="20"/>
              </w:rPr>
            </w:pPr>
            <w:r>
              <w:rPr>
                <w:sz w:val="20"/>
                <w:szCs w:val="20"/>
              </w:rPr>
              <w:t>Eventos adversos graves</w:t>
            </w:r>
          </w:p>
        </w:tc>
        <w:tc>
          <w:tcPr>
            <w:tcW w:w="1530" w:type="dxa"/>
          </w:tcPr>
          <w:p w14:paraId="30EC045F" w14:textId="77777777" w:rsidR="00817793" w:rsidRDefault="002719FC">
            <w:pPr>
              <w:spacing w:before="120" w:after="120"/>
              <w:jc w:val="center"/>
              <w:rPr>
                <w:b/>
                <w:sz w:val="20"/>
                <w:szCs w:val="20"/>
              </w:rPr>
            </w:pPr>
            <w:r>
              <w:rPr>
                <w:b/>
                <w:sz w:val="20"/>
                <w:szCs w:val="20"/>
              </w:rPr>
              <w:t xml:space="preserve">Desfecho </w:t>
            </w:r>
            <w:proofErr w:type="gramStart"/>
            <w:r>
              <w:rPr>
                <w:b/>
                <w:sz w:val="20"/>
                <w:szCs w:val="20"/>
              </w:rPr>
              <w:t>Secundário(</w:t>
            </w:r>
            <w:proofErr w:type="gramEnd"/>
            <w:r>
              <w:rPr>
                <w:b/>
                <w:sz w:val="20"/>
                <w:szCs w:val="20"/>
              </w:rPr>
              <w:t>**)</w:t>
            </w:r>
          </w:p>
          <w:p w14:paraId="4ED0515D" w14:textId="77777777" w:rsidR="00817793" w:rsidRDefault="002719FC">
            <w:pPr>
              <w:spacing w:before="120" w:after="120"/>
              <w:jc w:val="center"/>
              <w:rPr>
                <w:sz w:val="20"/>
                <w:szCs w:val="20"/>
              </w:rPr>
            </w:pPr>
            <w:r>
              <w:rPr>
                <w:sz w:val="20"/>
                <w:szCs w:val="20"/>
              </w:rPr>
              <w:t>Redução sustentada de corticosteroides</w:t>
            </w:r>
          </w:p>
          <w:p w14:paraId="54C529ED" w14:textId="77777777" w:rsidR="00817793" w:rsidRDefault="00817793">
            <w:pPr>
              <w:spacing w:before="120" w:after="120"/>
              <w:jc w:val="center"/>
              <w:rPr>
                <w:sz w:val="20"/>
                <w:szCs w:val="20"/>
              </w:rPr>
            </w:pPr>
          </w:p>
          <w:p w14:paraId="1C0157D6" w14:textId="77777777" w:rsidR="00817793" w:rsidRDefault="00817793">
            <w:pPr>
              <w:spacing w:before="120" w:after="120"/>
              <w:jc w:val="center"/>
              <w:rPr>
                <w:b/>
                <w:sz w:val="20"/>
                <w:szCs w:val="20"/>
              </w:rPr>
            </w:pPr>
          </w:p>
        </w:tc>
        <w:tc>
          <w:tcPr>
            <w:tcW w:w="1500" w:type="dxa"/>
          </w:tcPr>
          <w:p w14:paraId="65D70E9E" w14:textId="77777777" w:rsidR="00817793" w:rsidRDefault="002719FC">
            <w:pPr>
              <w:spacing w:before="120" w:after="120"/>
              <w:jc w:val="center"/>
              <w:rPr>
                <w:sz w:val="20"/>
                <w:szCs w:val="20"/>
              </w:rPr>
            </w:pPr>
            <w:r>
              <w:rPr>
                <w:b/>
                <w:sz w:val="20"/>
                <w:szCs w:val="20"/>
              </w:rPr>
              <w:t xml:space="preserve">Desfecho </w:t>
            </w:r>
            <w:proofErr w:type="gramStart"/>
            <w:r>
              <w:rPr>
                <w:b/>
                <w:sz w:val="20"/>
                <w:szCs w:val="20"/>
              </w:rPr>
              <w:t>Secundário(</w:t>
            </w:r>
            <w:proofErr w:type="gramEnd"/>
            <w:r>
              <w:rPr>
                <w:b/>
                <w:sz w:val="20"/>
                <w:szCs w:val="20"/>
              </w:rPr>
              <w:t>**)</w:t>
            </w:r>
          </w:p>
          <w:p w14:paraId="460F0081" w14:textId="77777777" w:rsidR="00817793" w:rsidRDefault="002719FC">
            <w:pPr>
              <w:spacing w:before="120" w:after="120"/>
              <w:jc w:val="center"/>
              <w:rPr>
                <w:sz w:val="20"/>
                <w:szCs w:val="20"/>
              </w:rPr>
            </w:pPr>
            <w:r>
              <w:rPr>
                <w:sz w:val="20"/>
                <w:szCs w:val="20"/>
              </w:rPr>
              <w:t>Melhora de manifestações cutâneas (índice CLASI)</w:t>
            </w:r>
          </w:p>
          <w:p w14:paraId="55C84660" w14:textId="77777777" w:rsidR="00817793" w:rsidRDefault="002719FC">
            <w:pPr>
              <w:spacing w:before="120" w:after="120"/>
              <w:jc w:val="center"/>
              <w:rPr>
                <w:sz w:val="20"/>
                <w:szCs w:val="20"/>
              </w:rPr>
            </w:pPr>
            <w:r>
              <w:rPr>
                <w:sz w:val="20"/>
                <w:szCs w:val="20"/>
              </w:rPr>
              <w:t>SEMANA 52</w:t>
            </w:r>
          </w:p>
          <w:p w14:paraId="3691E7B2" w14:textId="77777777" w:rsidR="00817793" w:rsidRDefault="00817793">
            <w:pPr>
              <w:spacing w:before="120" w:after="120"/>
              <w:jc w:val="center"/>
              <w:rPr>
                <w:b/>
                <w:sz w:val="20"/>
                <w:szCs w:val="20"/>
              </w:rPr>
            </w:pPr>
          </w:p>
        </w:tc>
      </w:tr>
      <w:tr w:rsidR="00817793" w14:paraId="2C609E9C" w14:textId="77777777">
        <w:trPr>
          <w:trHeight w:val="758"/>
        </w:trPr>
        <w:tc>
          <w:tcPr>
            <w:tcW w:w="1515" w:type="dxa"/>
            <w:vMerge w:val="restart"/>
          </w:tcPr>
          <w:p w14:paraId="250CE4F1" w14:textId="77777777" w:rsidR="00817793" w:rsidRDefault="002719FC">
            <w:pPr>
              <w:spacing w:before="120" w:after="120"/>
              <w:jc w:val="center"/>
              <w:rPr>
                <w:sz w:val="20"/>
                <w:szCs w:val="20"/>
              </w:rPr>
            </w:pPr>
            <w:proofErr w:type="spellStart"/>
            <w:r>
              <w:rPr>
                <w:sz w:val="20"/>
                <w:szCs w:val="20"/>
              </w:rPr>
              <w:t>Furie</w:t>
            </w:r>
            <w:proofErr w:type="spellEnd"/>
            <w:r>
              <w:rPr>
                <w:sz w:val="20"/>
                <w:szCs w:val="20"/>
              </w:rPr>
              <w:t xml:space="preserve"> et al. (2019)</w:t>
            </w:r>
          </w:p>
          <w:p w14:paraId="4B456955" w14:textId="77777777" w:rsidR="00817793" w:rsidRDefault="002719FC">
            <w:pPr>
              <w:spacing w:before="120" w:after="120"/>
              <w:jc w:val="center"/>
              <w:rPr>
                <w:sz w:val="20"/>
                <w:szCs w:val="20"/>
              </w:rPr>
            </w:pPr>
            <w:r>
              <w:rPr>
                <w:sz w:val="20"/>
                <w:szCs w:val="20"/>
              </w:rPr>
              <w:t>TULIP-1</w:t>
            </w:r>
          </w:p>
        </w:tc>
        <w:tc>
          <w:tcPr>
            <w:tcW w:w="1515" w:type="dxa"/>
          </w:tcPr>
          <w:p w14:paraId="0B88110E"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15A2F22B" w14:textId="77777777" w:rsidR="00817793" w:rsidRDefault="002719FC">
            <w:pPr>
              <w:spacing w:before="120" w:after="120"/>
              <w:jc w:val="center"/>
              <w:rPr>
                <w:sz w:val="20"/>
                <w:szCs w:val="20"/>
              </w:rPr>
            </w:pPr>
            <w:r>
              <w:rPr>
                <w:sz w:val="20"/>
                <w:szCs w:val="20"/>
              </w:rPr>
              <w:t>65 pacientes de 180 (36%)</w:t>
            </w:r>
          </w:p>
          <w:p w14:paraId="526770CE" w14:textId="77777777" w:rsidR="00817793" w:rsidRDefault="00817793">
            <w:pPr>
              <w:spacing w:before="120" w:after="120"/>
              <w:jc w:val="center"/>
              <w:rPr>
                <w:sz w:val="20"/>
                <w:szCs w:val="20"/>
              </w:rPr>
            </w:pPr>
          </w:p>
          <w:p w14:paraId="03D218E5" w14:textId="77777777" w:rsidR="00817793" w:rsidRDefault="002719FC">
            <w:pPr>
              <w:spacing w:before="120" w:after="120"/>
              <w:jc w:val="center"/>
              <w:rPr>
                <w:sz w:val="20"/>
                <w:szCs w:val="20"/>
              </w:rPr>
            </w:pPr>
            <w:r>
              <w:rPr>
                <w:sz w:val="20"/>
                <w:szCs w:val="20"/>
              </w:rPr>
              <w:lastRenderedPageBreak/>
              <w:t xml:space="preserve">Placebo + tratamento </w:t>
            </w:r>
            <w:proofErr w:type="gramStart"/>
            <w:r>
              <w:rPr>
                <w:sz w:val="20"/>
                <w:szCs w:val="20"/>
              </w:rPr>
              <w:t>padrão(</w:t>
            </w:r>
            <w:proofErr w:type="gramEnd"/>
            <w:r>
              <w:rPr>
                <w:sz w:val="20"/>
                <w:szCs w:val="20"/>
              </w:rPr>
              <w:t>***)</w:t>
            </w:r>
          </w:p>
          <w:p w14:paraId="183A92D4" w14:textId="77777777" w:rsidR="00817793" w:rsidRDefault="002719FC">
            <w:pPr>
              <w:spacing w:before="120" w:after="120"/>
              <w:jc w:val="center"/>
              <w:rPr>
                <w:sz w:val="20"/>
                <w:szCs w:val="20"/>
              </w:rPr>
            </w:pPr>
            <w:r>
              <w:rPr>
                <w:sz w:val="20"/>
                <w:szCs w:val="20"/>
              </w:rPr>
              <w:t xml:space="preserve">74 pacientes de 184 (40%) </w:t>
            </w:r>
          </w:p>
          <w:p w14:paraId="7CBEED82" w14:textId="77777777" w:rsidR="00817793" w:rsidRDefault="00817793">
            <w:pPr>
              <w:spacing w:before="120" w:after="120"/>
              <w:jc w:val="center"/>
              <w:rPr>
                <w:sz w:val="20"/>
                <w:szCs w:val="20"/>
              </w:rPr>
            </w:pPr>
          </w:p>
          <w:p w14:paraId="73E1B98E" w14:textId="77777777" w:rsidR="00817793" w:rsidRDefault="002719FC">
            <w:pPr>
              <w:spacing w:before="120" w:after="120"/>
              <w:jc w:val="center"/>
              <w:rPr>
                <w:sz w:val="20"/>
                <w:szCs w:val="20"/>
              </w:rPr>
            </w:pPr>
            <w:r>
              <w:rPr>
                <w:sz w:val="20"/>
                <w:szCs w:val="20"/>
              </w:rPr>
              <w:t>Diferença -4,2 (IC95% -14,2;5,8)</w:t>
            </w:r>
          </w:p>
          <w:p w14:paraId="7D75BC4B" w14:textId="77777777" w:rsidR="00817793" w:rsidRDefault="002719FC">
            <w:pPr>
              <w:spacing w:before="120" w:after="120"/>
              <w:jc w:val="center"/>
              <w:rPr>
                <w:sz w:val="20"/>
                <w:szCs w:val="20"/>
              </w:rPr>
            </w:pPr>
            <w:r>
              <w:rPr>
                <w:sz w:val="20"/>
                <w:szCs w:val="20"/>
              </w:rPr>
              <w:t>p=0,412</w:t>
            </w:r>
          </w:p>
          <w:p w14:paraId="6E36661F" w14:textId="77777777" w:rsidR="00817793" w:rsidRDefault="00817793">
            <w:pPr>
              <w:spacing w:before="120" w:after="120"/>
              <w:jc w:val="center"/>
              <w:rPr>
                <w:sz w:val="20"/>
                <w:szCs w:val="20"/>
              </w:rPr>
            </w:pPr>
          </w:p>
        </w:tc>
        <w:tc>
          <w:tcPr>
            <w:tcW w:w="1380" w:type="dxa"/>
          </w:tcPr>
          <w:p w14:paraId="215D9E39" w14:textId="77777777" w:rsidR="00817793" w:rsidRDefault="002719FC">
            <w:pPr>
              <w:spacing w:before="120" w:after="120"/>
              <w:jc w:val="center"/>
              <w:rPr>
                <w:sz w:val="20"/>
                <w:szCs w:val="20"/>
              </w:rPr>
            </w:pPr>
            <w:r>
              <w:rPr>
                <w:sz w:val="20"/>
                <w:szCs w:val="20"/>
              </w:rPr>
              <w:lastRenderedPageBreak/>
              <w:t>Anifrolumabe300mg</w:t>
            </w:r>
          </w:p>
          <w:p w14:paraId="18D848CF" w14:textId="77777777" w:rsidR="00817793" w:rsidRDefault="002719FC">
            <w:pPr>
              <w:spacing w:before="120" w:after="120"/>
              <w:jc w:val="center"/>
              <w:rPr>
                <w:sz w:val="20"/>
                <w:szCs w:val="20"/>
              </w:rPr>
            </w:pPr>
            <w:r>
              <w:rPr>
                <w:sz w:val="20"/>
                <w:szCs w:val="20"/>
              </w:rPr>
              <w:t>67 pacientes de 180 (37%)</w:t>
            </w:r>
          </w:p>
          <w:p w14:paraId="38645DC7" w14:textId="77777777" w:rsidR="00817793" w:rsidRDefault="00817793">
            <w:pPr>
              <w:spacing w:before="120" w:after="120"/>
              <w:jc w:val="center"/>
              <w:rPr>
                <w:sz w:val="20"/>
                <w:szCs w:val="20"/>
              </w:rPr>
            </w:pPr>
          </w:p>
          <w:p w14:paraId="549173A4" w14:textId="77777777" w:rsidR="00817793" w:rsidRDefault="002719FC">
            <w:pPr>
              <w:spacing w:before="120" w:after="120"/>
              <w:jc w:val="center"/>
              <w:rPr>
                <w:sz w:val="20"/>
                <w:szCs w:val="20"/>
              </w:rPr>
            </w:pPr>
            <w:r>
              <w:rPr>
                <w:sz w:val="20"/>
                <w:szCs w:val="20"/>
              </w:rPr>
              <w:lastRenderedPageBreak/>
              <w:t xml:space="preserve">Placebo + tratamento </w:t>
            </w:r>
            <w:proofErr w:type="gramStart"/>
            <w:r>
              <w:rPr>
                <w:sz w:val="20"/>
                <w:szCs w:val="20"/>
              </w:rPr>
              <w:t>padrão(</w:t>
            </w:r>
            <w:proofErr w:type="gramEnd"/>
            <w:r>
              <w:rPr>
                <w:sz w:val="20"/>
                <w:szCs w:val="20"/>
              </w:rPr>
              <w:t>***)</w:t>
            </w:r>
          </w:p>
          <w:p w14:paraId="13D33021" w14:textId="77777777" w:rsidR="00817793" w:rsidRDefault="002719FC">
            <w:pPr>
              <w:spacing w:before="120" w:after="120"/>
              <w:jc w:val="center"/>
              <w:rPr>
                <w:sz w:val="20"/>
                <w:szCs w:val="20"/>
              </w:rPr>
            </w:pPr>
            <w:r>
              <w:rPr>
                <w:sz w:val="20"/>
                <w:szCs w:val="20"/>
              </w:rPr>
              <w:t>49 pacientes de 184 (27%)</w:t>
            </w:r>
          </w:p>
          <w:p w14:paraId="135E58C4" w14:textId="77777777" w:rsidR="00817793" w:rsidRDefault="00817793">
            <w:pPr>
              <w:spacing w:before="120" w:after="120"/>
              <w:jc w:val="center"/>
              <w:rPr>
                <w:sz w:val="20"/>
                <w:szCs w:val="20"/>
              </w:rPr>
            </w:pPr>
          </w:p>
          <w:p w14:paraId="72E78205" w14:textId="77777777" w:rsidR="00817793" w:rsidRDefault="002719FC">
            <w:pPr>
              <w:spacing w:before="120" w:after="120"/>
              <w:jc w:val="center"/>
              <w:rPr>
                <w:b/>
                <w:sz w:val="20"/>
                <w:szCs w:val="20"/>
              </w:rPr>
            </w:pPr>
            <w:r>
              <w:rPr>
                <w:b/>
                <w:sz w:val="20"/>
                <w:szCs w:val="20"/>
              </w:rPr>
              <w:t>Diferença 10,1 (0,6;19,7)</w:t>
            </w:r>
          </w:p>
          <w:p w14:paraId="62EBF9A1" w14:textId="77777777" w:rsidR="00817793" w:rsidRDefault="00817793">
            <w:pPr>
              <w:spacing w:before="120" w:after="120"/>
              <w:jc w:val="center"/>
              <w:rPr>
                <w:sz w:val="20"/>
                <w:szCs w:val="20"/>
              </w:rPr>
            </w:pPr>
          </w:p>
          <w:p w14:paraId="0C6C2CD5" w14:textId="77777777" w:rsidR="00817793" w:rsidRDefault="00817793">
            <w:pPr>
              <w:spacing w:before="120" w:after="120"/>
              <w:jc w:val="center"/>
              <w:rPr>
                <w:sz w:val="20"/>
                <w:szCs w:val="20"/>
              </w:rPr>
            </w:pPr>
          </w:p>
        </w:tc>
        <w:tc>
          <w:tcPr>
            <w:tcW w:w="1650" w:type="dxa"/>
          </w:tcPr>
          <w:p w14:paraId="07167D7E" w14:textId="5ABE9229" w:rsidR="00817793" w:rsidRDefault="002719FC">
            <w:pPr>
              <w:spacing w:before="120" w:after="120"/>
              <w:jc w:val="center"/>
              <w:rPr>
                <w:sz w:val="20"/>
                <w:szCs w:val="20"/>
              </w:rPr>
            </w:pPr>
            <w:proofErr w:type="spellStart"/>
            <w:r>
              <w:rPr>
                <w:sz w:val="20"/>
                <w:szCs w:val="20"/>
              </w:rPr>
              <w:lastRenderedPageBreak/>
              <w:t>Anifrolumabe</w:t>
            </w:r>
            <w:proofErr w:type="spellEnd"/>
            <w:r>
              <w:rPr>
                <w:sz w:val="20"/>
                <w:szCs w:val="20"/>
              </w:rPr>
              <w:t xml:space="preserve"> 300 mg (14%) </w:t>
            </w:r>
          </w:p>
          <w:p w14:paraId="6AC94810" w14:textId="77777777" w:rsidR="00817793" w:rsidRPr="00FF6BAB" w:rsidRDefault="002719FC">
            <w:pPr>
              <w:spacing w:before="120" w:after="120"/>
              <w:jc w:val="center"/>
              <w:rPr>
                <w:i/>
                <w:iCs/>
                <w:sz w:val="20"/>
                <w:szCs w:val="20"/>
              </w:rPr>
            </w:pPr>
            <w:r w:rsidRPr="00FF6BAB">
              <w:rPr>
                <w:i/>
                <w:iCs/>
                <w:sz w:val="20"/>
                <w:szCs w:val="20"/>
              </w:rPr>
              <w:t>versus</w:t>
            </w:r>
          </w:p>
          <w:p w14:paraId="0C38D896"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 (16%).</w:t>
            </w:r>
          </w:p>
        </w:tc>
        <w:tc>
          <w:tcPr>
            <w:tcW w:w="1530" w:type="dxa"/>
          </w:tcPr>
          <w:p w14:paraId="0696951D" w14:textId="77777777" w:rsidR="00817793" w:rsidRDefault="002719FC">
            <w:pPr>
              <w:spacing w:before="120" w:after="120"/>
              <w:jc w:val="center"/>
              <w:rPr>
                <w:sz w:val="20"/>
                <w:szCs w:val="20"/>
              </w:rPr>
            </w:pPr>
            <w:r>
              <w:rPr>
                <w:sz w:val="20"/>
                <w:szCs w:val="20"/>
              </w:rPr>
              <w:t>SEMANA 52</w:t>
            </w:r>
          </w:p>
          <w:p w14:paraId="7D413626"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554DF400" w14:textId="77777777" w:rsidR="00817793" w:rsidRDefault="002719FC">
            <w:pPr>
              <w:spacing w:before="120" w:after="120"/>
              <w:jc w:val="center"/>
              <w:rPr>
                <w:sz w:val="20"/>
                <w:szCs w:val="20"/>
              </w:rPr>
            </w:pPr>
            <w:r>
              <w:rPr>
                <w:sz w:val="20"/>
                <w:szCs w:val="20"/>
              </w:rPr>
              <w:t>42 pacientes de 103 (41%)</w:t>
            </w:r>
          </w:p>
          <w:p w14:paraId="709E88E4" w14:textId="77777777" w:rsidR="00817793" w:rsidRDefault="00817793">
            <w:pPr>
              <w:spacing w:before="120" w:after="120"/>
              <w:jc w:val="center"/>
              <w:rPr>
                <w:sz w:val="20"/>
                <w:szCs w:val="20"/>
              </w:rPr>
            </w:pPr>
          </w:p>
          <w:p w14:paraId="6369DA03" w14:textId="77777777" w:rsidR="00817793" w:rsidRDefault="002719FC">
            <w:pPr>
              <w:spacing w:before="120" w:after="120"/>
              <w:jc w:val="center"/>
              <w:rPr>
                <w:sz w:val="20"/>
                <w:szCs w:val="20"/>
              </w:rPr>
            </w:pPr>
            <w:r>
              <w:rPr>
                <w:sz w:val="20"/>
                <w:szCs w:val="20"/>
              </w:rPr>
              <w:lastRenderedPageBreak/>
              <w:t xml:space="preserve">Placebo + tratamento </w:t>
            </w:r>
            <w:proofErr w:type="gramStart"/>
            <w:r>
              <w:rPr>
                <w:sz w:val="20"/>
                <w:szCs w:val="20"/>
              </w:rPr>
              <w:t>padrão(</w:t>
            </w:r>
            <w:proofErr w:type="gramEnd"/>
            <w:r>
              <w:rPr>
                <w:sz w:val="20"/>
                <w:szCs w:val="20"/>
              </w:rPr>
              <w:t>***)</w:t>
            </w:r>
          </w:p>
          <w:p w14:paraId="36697CE9" w14:textId="77777777" w:rsidR="00817793" w:rsidRDefault="002719FC">
            <w:pPr>
              <w:spacing w:before="120" w:after="120"/>
              <w:jc w:val="center"/>
              <w:rPr>
                <w:sz w:val="20"/>
                <w:szCs w:val="20"/>
              </w:rPr>
            </w:pPr>
            <w:r>
              <w:rPr>
                <w:sz w:val="20"/>
                <w:szCs w:val="20"/>
              </w:rPr>
              <w:t>33 pacientes de 102 (32%)</w:t>
            </w:r>
          </w:p>
          <w:p w14:paraId="508C98E9" w14:textId="77777777" w:rsidR="00817793" w:rsidRDefault="00817793">
            <w:pPr>
              <w:spacing w:before="120" w:after="120"/>
              <w:jc w:val="center"/>
              <w:rPr>
                <w:sz w:val="20"/>
                <w:szCs w:val="20"/>
              </w:rPr>
            </w:pPr>
          </w:p>
          <w:p w14:paraId="6F86BD7D" w14:textId="77777777" w:rsidR="00817793" w:rsidRDefault="002719FC">
            <w:pPr>
              <w:spacing w:before="120" w:after="120"/>
              <w:jc w:val="center"/>
              <w:rPr>
                <w:sz w:val="20"/>
                <w:szCs w:val="20"/>
              </w:rPr>
            </w:pPr>
            <w:r>
              <w:rPr>
                <w:sz w:val="20"/>
                <w:szCs w:val="20"/>
              </w:rPr>
              <w:t>Diferença 8,9 (-4,1; 21,9)</w:t>
            </w:r>
          </w:p>
          <w:p w14:paraId="5BBF7B8E" w14:textId="77777777" w:rsidR="00817793" w:rsidRDefault="002719FC">
            <w:pPr>
              <w:spacing w:before="120" w:after="120"/>
              <w:jc w:val="center"/>
              <w:rPr>
                <w:sz w:val="20"/>
                <w:szCs w:val="20"/>
              </w:rPr>
            </w:pPr>
            <w:r>
              <w:rPr>
                <w:sz w:val="20"/>
                <w:szCs w:val="20"/>
              </w:rPr>
              <w:t>p=0,180</w:t>
            </w:r>
          </w:p>
        </w:tc>
        <w:tc>
          <w:tcPr>
            <w:tcW w:w="1500" w:type="dxa"/>
          </w:tcPr>
          <w:p w14:paraId="2E7AE16F" w14:textId="77777777" w:rsidR="00817793" w:rsidRDefault="002719FC">
            <w:pPr>
              <w:spacing w:before="120" w:after="120"/>
              <w:jc w:val="center"/>
              <w:rPr>
                <w:sz w:val="20"/>
                <w:szCs w:val="20"/>
              </w:rPr>
            </w:pPr>
            <w:proofErr w:type="spellStart"/>
            <w:r>
              <w:rPr>
                <w:sz w:val="20"/>
                <w:szCs w:val="20"/>
              </w:rPr>
              <w:lastRenderedPageBreak/>
              <w:t>Anifrolumabe</w:t>
            </w:r>
            <w:proofErr w:type="spellEnd"/>
            <w:r>
              <w:rPr>
                <w:sz w:val="20"/>
                <w:szCs w:val="20"/>
              </w:rPr>
              <w:t xml:space="preserve"> 300mg</w:t>
            </w:r>
          </w:p>
          <w:p w14:paraId="66EACC7E" w14:textId="77777777" w:rsidR="00817793" w:rsidRDefault="002719FC">
            <w:pPr>
              <w:spacing w:before="120" w:after="120"/>
              <w:jc w:val="left"/>
              <w:rPr>
                <w:sz w:val="20"/>
                <w:szCs w:val="20"/>
              </w:rPr>
            </w:pPr>
            <w:r>
              <w:rPr>
                <w:sz w:val="20"/>
                <w:szCs w:val="20"/>
              </w:rPr>
              <w:t>24 pacientes de 58 (42%)</w:t>
            </w:r>
          </w:p>
          <w:p w14:paraId="779F8E76" w14:textId="77777777" w:rsidR="00817793" w:rsidRDefault="00817793">
            <w:pPr>
              <w:spacing w:before="120" w:after="120"/>
              <w:jc w:val="center"/>
              <w:rPr>
                <w:sz w:val="20"/>
                <w:szCs w:val="20"/>
              </w:rPr>
            </w:pPr>
          </w:p>
          <w:p w14:paraId="3DCB7DBC" w14:textId="77777777" w:rsidR="00817793" w:rsidRDefault="002719FC">
            <w:pPr>
              <w:spacing w:before="120" w:after="120"/>
              <w:jc w:val="center"/>
              <w:rPr>
                <w:sz w:val="20"/>
                <w:szCs w:val="20"/>
              </w:rPr>
            </w:pPr>
            <w:r>
              <w:rPr>
                <w:sz w:val="20"/>
                <w:szCs w:val="20"/>
              </w:rPr>
              <w:lastRenderedPageBreak/>
              <w:t xml:space="preserve">Placebo + tratamento </w:t>
            </w:r>
            <w:proofErr w:type="gramStart"/>
            <w:r>
              <w:rPr>
                <w:sz w:val="20"/>
                <w:szCs w:val="20"/>
              </w:rPr>
              <w:t>padrão(</w:t>
            </w:r>
            <w:proofErr w:type="gramEnd"/>
            <w:r>
              <w:rPr>
                <w:sz w:val="20"/>
                <w:szCs w:val="20"/>
              </w:rPr>
              <w:t>***)</w:t>
            </w:r>
          </w:p>
          <w:p w14:paraId="70396982" w14:textId="77777777" w:rsidR="00817793" w:rsidRDefault="002719FC">
            <w:pPr>
              <w:spacing w:before="120" w:after="120"/>
              <w:jc w:val="center"/>
              <w:rPr>
                <w:sz w:val="20"/>
                <w:szCs w:val="20"/>
              </w:rPr>
            </w:pPr>
            <w:r>
              <w:rPr>
                <w:sz w:val="20"/>
                <w:szCs w:val="20"/>
              </w:rPr>
              <w:t>14 pacientes de 54 (25%)</w:t>
            </w:r>
          </w:p>
          <w:p w14:paraId="7818863E" w14:textId="77777777" w:rsidR="00817793" w:rsidRDefault="00817793">
            <w:pPr>
              <w:spacing w:before="120" w:after="120"/>
              <w:jc w:val="center"/>
              <w:rPr>
                <w:sz w:val="20"/>
                <w:szCs w:val="20"/>
              </w:rPr>
            </w:pPr>
          </w:p>
          <w:p w14:paraId="1DF5383C" w14:textId="77777777" w:rsidR="00817793" w:rsidRDefault="002719FC">
            <w:pPr>
              <w:spacing w:before="120" w:after="120"/>
              <w:jc w:val="center"/>
              <w:rPr>
                <w:sz w:val="20"/>
                <w:szCs w:val="20"/>
              </w:rPr>
            </w:pPr>
            <w:r>
              <w:rPr>
                <w:sz w:val="20"/>
                <w:szCs w:val="20"/>
              </w:rPr>
              <w:t>Diferença 17,0 (-0,31; 34,3)</w:t>
            </w:r>
          </w:p>
          <w:p w14:paraId="2E9EF829" w14:textId="77777777" w:rsidR="00817793" w:rsidRDefault="002719FC">
            <w:pPr>
              <w:spacing w:before="120" w:after="120"/>
              <w:jc w:val="center"/>
              <w:rPr>
                <w:sz w:val="20"/>
                <w:szCs w:val="20"/>
              </w:rPr>
            </w:pPr>
            <w:r>
              <w:rPr>
                <w:sz w:val="20"/>
                <w:szCs w:val="20"/>
              </w:rPr>
              <w:t>p=0,054</w:t>
            </w:r>
          </w:p>
        </w:tc>
      </w:tr>
      <w:tr w:rsidR="00817793" w14:paraId="254687C1" w14:textId="77777777">
        <w:trPr>
          <w:trHeight w:val="656"/>
        </w:trPr>
        <w:tc>
          <w:tcPr>
            <w:tcW w:w="1515" w:type="dxa"/>
            <w:vMerge/>
          </w:tcPr>
          <w:p w14:paraId="44F69B9A" w14:textId="77777777" w:rsidR="00817793" w:rsidRDefault="00817793">
            <w:pPr>
              <w:widowControl w:val="0"/>
              <w:pBdr>
                <w:top w:val="nil"/>
                <w:left w:val="nil"/>
                <w:bottom w:val="nil"/>
                <w:right w:val="nil"/>
                <w:between w:val="nil"/>
              </w:pBdr>
              <w:spacing w:before="0" w:line="276" w:lineRule="auto"/>
              <w:jc w:val="left"/>
              <w:rPr>
                <w:sz w:val="20"/>
                <w:szCs w:val="20"/>
                <w:highlight w:val="yellow"/>
              </w:rPr>
            </w:pPr>
          </w:p>
        </w:tc>
        <w:tc>
          <w:tcPr>
            <w:tcW w:w="1515" w:type="dxa"/>
          </w:tcPr>
          <w:p w14:paraId="589342B8" w14:textId="77777777" w:rsidR="00817793" w:rsidRDefault="002719FC">
            <w:pPr>
              <w:spacing w:before="120" w:after="120"/>
              <w:jc w:val="center"/>
              <w:rPr>
                <w:i/>
                <w:color w:val="FF0000"/>
                <w:sz w:val="20"/>
                <w:szCs w:val="20"/>
              </w:rPr>
            </w:pPr>
            <w:r>
              <w:rPr>
                <w:sz w:val="20"/>
                <w:szCs w:val="20"/>
              </w:rPr>
              <w:t xml:space="preserve">Não houve diferença significativa no SRI-4 entre </w:t>
            </w:r>
            <w:proofErr w:type="spellStart"/>
            <w:r>
              <w:rPr>
                <w:sz w:val="20"/>
                <w:szCs w:val="20"/>
              </w:rPr>
              <w:t>anifrolumabe</w:t>
            </w:r>
            <w:proofErr w:type="spellEnd"/>
            <w:r>
              <w:rPr>
                <w:sz w:val="20"/>
                <w:szCs w:val="20"/>
              </w:rPr>
              <w:t xml:space="preserve"> 300 mg (36%) e placebo + tratamento </w:t>
            </w:r>
            <w:proofErr w:type="gramStart"/>
            <w:r>
              <w:rPr>
                <w:sz w:val="20"/>
                <w:szCs w:val="20"/>
              </w:rPr>
              <w:t>padrão(</w:t>
            </w:r>
            <w:proofErr w:type="gramEnd"/>
            <w:r>
              <w:rPr>
                <w:sz w:val="20"/>
                <w:szCs w:val="20"/>
              </w:rPr>
              <w:t>***) (40%) na semana 52 (p=0,412).</w:t>
            </w:r>
          </w:p>
        </w:tc>
        <w:tc>
          <w:tcPr>
            <w:tcW w:w="1380" w:type="dxa"/>
          </w:tcPr>
          <w:p w14:paraId="7702334D" w14:textId="77777777" w:rsidR="00817793" w:rsidRDefault="002719FC">
            <w:pPr>
              <w:spacing w:before="120" w:after="120"/>
              <w:jc w:val="center"/>
              <w:rPr>
                <w:sz w:val="20"/>
                <w:szCs w:val="20"/>
              </w:rPr>
            </w:pPr>
            <w:r>
              <w:rPr>
                <w:sz w:val="20"/>
                <w:szCs w:val="20"/>
              </w:rPr>
              <w:t xml:space="preserve">A diferença absoluta de 10,1% indica que uma proporção maior de pacientes tratados com </w:t>
            </w:r>
            <w:proofErr w:type="spellStart"/>
            <w:r>
              <w:rPr>
                <w:sz w:val="20"/>
                <w:szCs w:val="20"/>
              </w:rPr>
              <w:t>anifrolumabe</w:t>
            </w:r>
            <w:proofErr w:type="spellEnd"/>
            <w:r>
              <w:rPr>
                <w:sz w:val="20"/>
                <w:szCs w:val="20"/>
              </w:rPr>
              <w:t xml:space="preserve"> 300 mg alcançou resposta no BICLA em comparação ao grupo placebo + tratamento </w:t>
            </w:r>
            <w:proofErr w:type="gramStart"/>
            <w:r>
              <w:rPr>
                <w:sz w:val="20"/>
                <w:szCs w:val="20"/>
              </w:rPr>
              <w:t>padrão(</w:t>
            </w:r>
            <w:proofErr w:type="gramEnd"/>
            <w:r>
              <w:rPr>
                <w:sz w:val="20"/>
                <w:szCs w:val="20"/>
              </w:rPr>
              <w:t>***). Com significância estatística.</w:t>
            </w:r>
          </w:p>
        </w:tc>
        <w:tc>
          <w:tcPr>
            <w:tcW w:w="1650" w:type="dxa"/>
          </w:tcPr>
          <w:p w14:paraId="3B6D3D13" w14:textId="77777777" w:rsidR="00817793" w:rsidRDefault="002719FC">
            <w:pPr>
              <w:spacing w:before="120" w:after="120"/>
              <w:jc w:val="center"/>
              <w:rPr>
                <w:sz w:val="20"/>
                <w:szCs w:val="20"/>
              </w:rPr>
            </w:pPr>
            <w:r>
              <w:rPr>
                <w:sz w:val="20"/>
                <w:szCs w:val="20"/>
              </w:rPr>
              <w:t xml:space="preserve">Perfil de segurança semelhante entre </w:t>
            </w:r>
            <w:proofErr w:type="spellStart"/>
            <w:r>
              <w:rPr>
                <w:sz w:val="20"/>
                <w:szCs w:val="20"/>
              </w:rPr>
              <w:t>anifrolumabe</w:t>
            </w:r>
            <w:proofErr w:type="spellEnd"/>
            <w:r>
              <w:rPr>
                <w:sz w:val="20"/>
                <w:szCs w:val="20"/>
              </w:rPr>
              <w:t xml:space="preserve"> e placebo + tratamento </w:t>
            </w:r>
            <w:proofErr w:type="gramStart"/>
            <w:r>
              <w:rPr>
                <w:sz w:val="20"/>
                <w:szCs w:val="20"/>
              </w:rPr>
              <w:t>padrão(</w:t>
            </w:r>
            <w:proofErr w:type="gramEnd"/>
            <w:r>
              <w:rPr>
                <w:sz w:val="20"/>
                <w:szCs w:val="20"/>
              </w:rPr>
              <w:t>***)</w:t>
            </w:r>
          </w:p>
        </w:tc>
        <w:tc>
          <w:tcPr>
            <w:tcW w:w="1530" w:type="dxa"/>
          </w:tcPr>
          <w:p w14:paraId="1B5ABE18" w14:textId="77777777" w:rsidR="00817793" w:rsidRDefault="002719FC">
            <w:pPr>
              <w:spacing w:before="120" w:after="120"/>
              <w:jc w:val="center"/>
              <w:rPr>
                <w:sz w:val="20"/>
                <w:szCs w:val="20"/>
              </w:rPr>
            </w:pPr>
            <w:r>
              <w:rPr>
                <w:sz w:val="20"/>
                <w:szCs w:val="20"/>
              </w:rPr>
              <w:t xml:space="preserve">Não houve diferença significativa na redução sustentada do uso de corticosteroide entre </w:t>
            </w:r>
            <w:proofErr w:type="spellStart"/>
            <w:r>
              <w:rPr>
                <w:sz w:val="20"/>
                <w:szCs w:val="20"/>
              </w:rPr>
              <w:t>anifrolumabe</w:t>
            </w:r>
            <w:proofErr w:type="spellEnd"/>
            <w:r>
              <w:rPr>
                <w:sz w:val="20"/>
                <w:szCs w:val="20"/>
              </w:rPr>
              <w:t xml:space="preserve"> 300mg (41%) e placebo + tratamento </w:t>
            </w:r>
            <w:proofErr w:type="gramStart"/>
            <w:r>
              <w:rPr>
                <w:sz w:val="20"/>
                <w:szCs w:val="20"/>
              </w:rPr>
              <w:t>padrão(</w:t>
            </w:r>
            <w:proofErr w:type="gramEnd"/>
            <w:r>
              <w:rPr>
                <w:sz w:val="20"/>
                <w:szCs w:val="20"/>
              </w:rPr>
              <w:t>***) (32%) (p=0,180).</w:t>
            </w:r>
          </w:p>
        </w:tc>
        <w:tc>
          <w:tcPr>
            <w:tcW w:w="1500" w:type="dxa"/>
          </w:tcPr>
          <w:p w14:paraId="719F9928" w14:textId="77777777" w:rsidR="00817793" w:rsidRDefault="002719FC">
            <w:pPr>
              <w:spacing w:before="120" w:after="120"/>
              <w:jc w:val="center"/>
              <w:rPr>
                <w:sz w:val="20"/>
                <w:szCs w:val="20"/>
              </w:rPr>
            </w:pPr>
            <w:r>
              <w:rPr>
                <w:sz w:val="20"/>
                <w:szCs w:val="20"/>
              </w:rPr>
              <w:t xml:space="preserve">Não houve diferença significativa na melhoria das manifestações cutâneas entre </w:t>
            </w:r>
            <w:proofErr w:type="spellStart"/>
            <w:r>
              <w:rPr>
                <w:sz w:val="20"/>
                <w:szCs w:val="20"/>
              </w:rPr>
              <w:t>anifrolumabe</w:t>
            </w:r>
            <w:proofErr w:type="spellEnd"/>
            <w:r>
              <w:rPr>
                <w:sz w:val="20"/>
                <w:szCs w:val="20"/>
              </w:rPr>
              <w:t xml:space="preserve"> 300mg (42%) e placebo + tratamento </w:t>
            </w:r>
            <w:proofErr w:type="gramStart"/>
            <w:r>
              <w:rPr>
                <w:sz w:val="20"/>
                <w:szCs w:val="20"/>
              </w:rPr>
              <w:t>padrão(</w:t>
            </w:r>
            <w:proofErr w:type="gramEnd"/>
            <w:r>
              <w:rPr>
                <w:sz w:val="20"/>
                <w:szCs w:val="20"/>
              </w:rPr>
              <w:t>***) (25%) (p=0,054).</w:t>
            </w:r>
          </w:p>
        </w:tc>
      </w:tr>
      <w:tr w:rsidR="00817793" w14:paraId="1125D343" w14:textId="77777777">
        <w:trPr>
          <w:trHeight w:val="656"/>
        </w:trPr>
        <w:tc>
          <w:tcPr>
            <w:tcW w:w="1515" w:type="dxa"/>
            <w:vMerge w:val="restart"/>
          </w:tcPr>
          <w:p w14:paraId="501F781E" w14:textId="77777777" w:rsidR="00817793" w:rsidRDefault="002719FC">
            <w:pPr>
              <w:spacing w:before="120" w:after="120"/>
              <w:jc w:val="center"/>
              <w:rPr>
                <w:sz w:val="20"/>
                <w:szCs w:val="20"/>
              </w:rPr>
            </w:pPr>
            <w:r>
              <w:rPr>
                <w:sz w:val="20"/>
                <w:szCs w:val="20"/>
              </w:rPr>
              <w:t>Morand et al. (2020)</w:t>
            </w:r>
          </w:p>
        </w:tc>
        <w:tc>
          <w:tcPr>
            <w:tcW w:w="1515" w:type="dxa"/>
          </w:tcPr>
          <w:p w14:paraId="33096EF0" w14:textId="77777777" w:rsidR="00817793" w:rsidRDefault="002719FC">
            <w:pPr>
              <w:spacing w:before="120" w:after="120"/>
              <w:jc w:val="center"/>
              <w:rPr>
                <w:sz w:val="20"/>
                <w:szCs w:val="20"/>
              </w:rPr>
            </w:pPr>
            <w:r>
              <w:rPr>
                <w:sz w:val="20"/>
                <w:szCs w:val="20"/>
              </w:rPr>
              <w:t>X</w:t>
            </w:r>
          </w:p>
        </w:tc>
        <w:tc>
          <w:tcPr>
            <w:tcW w:w="1380" w:type="dxa"/>
          </w:tcPr>
          <w:p w14:paraId="3170CDB2" w14:textId="77777777" w:rsidR="00817793" w:rsidRDefault="002719FC">
            <w:pPr>
              <w:spacing w:before="120" w:after="120"/>
              <w:jc w:val="center"/>
              <w:rPr>
                <w:sz w:val="20"/>
                <w:szCs w:val="20"/>
              </w:rPr>
            </w:pPr>
            <w:r>
              <w:rPr>
                <w:sz w:val="20"/>
                <w:szCs w:val="20"/>
              </w:rPr>
              <w:t>Anifrolumabe300mg</w:t>
            </w:r>
          </w:p>
          <w:p w14:paraId="04D95D27" w14:textId="77777777" w:rsidR="00817793" w:rsidRDefault="002719FC">
            <w:pPr>
              <w:spacing w:before="120" w:after="120"/>
              <w:jc w:val="center"/>
              <w:rPr>
                <w:sz w:val="20"/>
                <w:szCs w:val="20"/>
              </w:rPr>
            </w:pPr>
            <w:r>
              <w:rPr>
                <w:sz w:val="20"/>
                <w:szCs w:val="20"/>
              </w:rPr>
              <w:t>86 pacientes de 180 (47,8%)</w:t>
            </w:r>
          </w:p>
          <w:p w14:paraId="5F07D11E" w14:textId="77777777" w:rsidR="00817793" w:rsidRDefault="00817793">
            <w:pPr>
              <w:spacing w:before="120" w:after="120"/>
              <w:jc w:val="center"/>
              <w:rPr>
                <w:sz w:val="20"/>
                <w:szCs w:val="20"/>
              </w:rPr>
            </w:pPr>
          </w:p>
          <w:p w14:paraId="46688238"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1BBC86A1" w14:textId="77777777" w:rsidR="00817793" w:rsidRDefault="002719FC">
            <w:pPr>
              <w:spacing w:before="120" w:after="120"/>
              <w:jc w:val="center"/>
              <w:rPr>
                <w:sz w:val="20"/>
                <w:szCs w:val="20"/>
              </w:rPr>
            </w:pPr>
            <w:r>
              <w:rPr>
                <w:sz w:val="20"/>
                <w:szCs w:val="20"/>
              </w:rPr>
              <w:lastRenderedPageBreak/>
              <w:t>57 pacientes de 182 (31,5%)</w:t>
            </w:r>
          </w:p>
          <w:p w14:paraId="41508A3C" w14:textId="77777777" w:rsidR="00817793" w:rsidRDefault="00817793">
            <w:pPr>
              <w:spacing w:before="120" w:after="120"/>
              <w:jc w:val="center"/>
              <w:rPr>
                <w:sz w:val="20"/>
                <w:szCs w:val="20"/>
              </w:rPr>
            </w:pPr>
          </w:p>
          <w:p w14:paraId="52582758" w14:textId="77777777" w:rsidR="00817793" w:rsidRDefault="002719FC">
            <w:pPr>
              <w:spacing w:before="120" w:after="120"/>
              <w:jc w:val="center"/>
              <w:rPr>
                <w:b/>
                <w:sz w:val="20"/>
                <w:szCs w:val="20"/>
              </w:rPr>
            </w:pPr>
            <w:r>
              <w:rPr>
                <w:b/>
                <w:sz w:val="20"/>
                <w:szCs w:val="20"/>
              </w:rPr>
              <w:t>Diferença 16,3 (6,3;26,3)</w:t>
            </w:r>
          </w:p>
          <w:p w14:paraId="11D5BEAD" w14:textId="77777777" w:rsidR="00817793" w:rsidRDefault="002719FC">
            <w:pPr>
              <w:spacing w:before="120" w:after="120"/>
              <w:jc w:val="center"/>
              <w:rPr>
                <w:b/>
                <w:sz w:val="20"/>
                <w:szCs w:val="20"/>
              </w:rPr>
            </w:pPr>
            <w:r>
              <w:rPr>
                <w:b/>
                <w:sz w:val="20"/>
                <w:szCs w:val="20"/>
              </w:rPr>
              <w:t>p=0,001</w:t>
            </w:r>
          </w:p>
        </w:tc>
        <w:tc>
          <w:tcPr>
            <w:tcW w:w="1650" w:type="dxa"/>
          </w:tcPr>
          <w:p w14:paraId="6AC3D985" w14:textId="77777777" w:rsidR="003D1708" w:rsidRPr="008E39C5" w:rsidRDefault="003D1708" w:rsidP="003D1708">
            <w:pPr>
              <w:spacing w:before="120" w:after="120"/>
              <w:rPr>
                <w:sz w:val="20"/>
                <w:szCs w:val="20"/>
                <w:u w:val="single"/>
              </w:rPr>
            </w:pPr>
            <w:r w:rsidRPr="008E39C5">
              <w:rPr>
                <w:sz w:val="20"/>
                <w:szCs w:val="20"/>
                <w:u w:val="single"/>
              </w:rPr>
              <w:lastRenderedPageBreak/>
              <w:t>Eventos adversos</w:t>
            </w:r>
          </w:p>
          <w:p w14:paraId="2851F229" w14:textId="6F378BE6" w:rsidR="003D1708" w:rsidRPr="008E39C5" w:rsidRDefault="003D1708" w:rsidP="008E3AEC">
            <w:pPr>
              <w:spacing w:before="120" w:after="120"/>
              <w:jc w:val="center"/>
              <w:rPr>
                <w:sz w:val="20"/>
                <w:szCs w:val="20"/>
                <w:u w:val="single"/>
              </w:rPr>
            </w:pPr>
            <w:r w:rsidRPr="008E39C5">
              <w:rPr>
                <w:sz w:val="20"/>
                <w:szCs w:val="20"/>
                <w:u w:val="single"/>
              </w:rPr>
              <w:t>graves</w:t>
            </w:r>
          </w:p>
          <w:p w14:paraId="3C527E94" w14:textId="65CA98BA" w:rsidR="008E3AEC" w:rsidRPr="008E39C5" w:rsidRDefault="008E3AEC" w:rsidP="008E3AEC">
            <w:pPr>
              <w:spacing w:before="120" w:after="120"/>
              <w:jc w:val="center"/>
              <w:rPr>
                <w:sz w:val="20"/>
                <w:szCs w:val="20"/>
              </w:rPr>
            </w:pPr>
            <w:proofErr w:type="spellStart"/>
            <w:r w:rsidRPr="008E39C5">
              <w:rPr>
                <w:sz w:val="20"/>
                <w:szCs w:val="20"/>
              </w:rPr>
              <w:t>Anifrolumabe</w:t>
            </w:r>
            <w:proofErr w:type="spellEnd"/>
            <w:r w:rsidRPr="008E39C5">
              <w:rPr>
                <w:sz w:val="20"/>
                <w:szCs w:val="20"/>
              </w:rPr>
              <w:t xml:space="preserve"> 300 mg (8,3%) </w:t>
            </w:r>
          </w:p>
          <w:p w14:paraId="43CED0D4" w14:textId="77777777" w:rsidR="008E3AEC" w:rsidRPr="008E39C5" w:rsidRDefault="008E3AEC" w:rsidP="008E3AEC">
            <w:pPr>
              <w:spacing w:before="120" w:after="120"/>
              <w:jc w:val="center"/>
              <w:rPr>
                <w:i/>
                <w:iCs/>
                <w:sz w:val="20"/>
                <w:szCs w:val="20"/>
              </w:rPr>
            </w:pPr>
            <w:r w:rsidRPr="008E39C5">
              <w:rPr>
                <w:i/>
                <w:iCs/>
                <w:sz w:val="20"/>
                <w:szCs w:val="20"/>
              </w:rPr>
              <w:t>versus</w:t>
            </w:r>
          </w:p>
          <w:p w14:paraId="702E1F6B" w14:textId="77777777" w:rsidR="008E3AEC" w:rsidRPr="008E39C5" w:rsidRDefault="008E3AEC" w:rsidP="008E3AEC">
            <w:pPr>
              <w:spacing w:before="120" w:after="120"/>
              <w:jc w:val="center"/>
              <w:rPr>
                <w:sz w:val="20"/>
                <w:szCs w:val="20"/>
              </w:rPr>
            </w:pPr>
            <w:r w:rsidRPr="008E39C5">
              <w:rPr>
                <w:sz w:val="20"/>
                <w:szCs w:val="20"/>
              </w:rPr>
              <w:t xml:space="preserve">placebo + tratamento </w:t>
            </w:r>
            <w:proofErr w:type="gramStart"/>
            <w:r w:rsidRPr="008E39C5">
              <w:rPr>
                <w:sz w:val="20"/>
                <w:szCs w:val="20"/>
              </w:rPr>
              <w:t>padrão(</w:t>
            </w:r>
            <w:proofErr w:type="gramEnd"/>
            <w:r w:rsidRPr="008E39C5">
              <w:rPr>
                <w:sz w:val="20"/>
                <w:szCs w:val="20"/>
              </w:rPr>
              <w:t>***) (17,0%).</w:t>
            </w:r>
          </w:p>
          <w:p w14:paraId="347833DF" w14:textId="77777777" w:rsidR="008E3AEC" w:rsidRPr="008E39C5" w:rsidRDefault="008E3AEC" w:rsidP="008E3AEC">
            <w:pPr>
              <w:spacing w:before="120" w:after="120"/>
              <w:rPr>
                <w:sz w:val="20"/>
                <w:szCs w:val="20"/>
              </w:rPr>
            </w:pPr>
          </w:p>
          <w:p w14:paraId="026AD05A" w14:textId="77777777" w:rsidR="008E3AEC" w:rsidRPr="008E39C5" w:rsidRDefault="008E3AEC" w:rsidP="008E3AEC">
            <w:pPr>
              <w:spacing w:before="120" w:after="120"/>
              <w:rPr>
                <w:sz w:val="20"/>
                <w:szCs w:val="20"/>
                <w:u w:val="single"/>
              </w:rPr>
            </w:pPr>
            <w:r w:rsidRPr="008E39C5">
              <w:rPr>
                <w:sz w:val="20"/>
                <w:szCs w:val="20"/>
                <w:u w:val="single"/>
              </w:rPr>
              <w:lastRenderedPageBreak/>
              <w:t>Eventos adversos</w:t>
            </w:r>
          </w:p>
          <w:p w14:paraId="20FAD088" w14:textId="61A09786" w:rsidR="00817793" w:rsidRPr="008E39C5" w:rsidRDefault="002719FC">
            <w:pPr>
              <w:spacing w:before="120" w:after="120"/>
              <w:jc w:val="center"/>
              <w:rPr>
                <w:sz w:val="20"/>
                <w:szCs w:val="20"/>
              </w:rPr>
            </w:pPr>
            <w:proofErr w:type="spellStart"/>
            <w:r w:rsidRPr="008E39C5">
              <w:rPr>
                <w:sz w:val="20"/>
                <w:szCs w:val="20"/>
              </w:rPr>
              <w:t>Anifrolumabe</w:t>
            </w:r>
            <w:proofErr w:type="spellEnd"/>
            <w:r w:rsidRPr="008E39C5">
              <w:rPr>
                <w:sz w:val="20"/>
                <w:szCs w:val="20"/>
              </w:rPr>
              <w:t xml:space="preserve"> 300 mg (88,3%) </w:t>
            </w:r>
          </w:p>
          <w:p w14:paraId="2AB90381" w14:textId="77777777" w:rsidR="00817793" w:rsidRPr="008E39C5" w:rsidRDefault="002719FC">
            <w:pPr>
              <w:spacing w:before="120" w:after="120"/>
              <w:jc w:val="center"/>
              <w:rPr>
                <w:i/>
                <w:iCs/>
                <w:sz w:val="20"/>
                <w:szCs w:val="20"/>
              </w:rPr>
            </w:pPr>
            <w:r w:rsidRPr="008E39C5">
              <w:rPr>
                <w:i/>
                <w:iCs/>
                <w:sz w:val="20"/>
                <w:szCs w:val="20"/>
              </w:rPr>
              <w:t>versus</w:t>
            </w:r>
          </w:p>
          <w:p w14:paraId="1E836ADB" w14:textId="40FEF9C1" w:rsidR="00817793" w:rsidRPr="008E39C5" w:rsidRDefault="002719FC">
            <w:pPr>
              <w:spacing w:before="120" w:after="120"/>
              <w:jc w:val="center"/>
              <w:rPr>
                <w:sz w:val="20"/>
                <w:szCs w:val="20"/>
              </w:rPr>
            </w:pPr>
            <w:r w:rsidRPr="008E39C5">
              <w:rPr>
                <w:sz w:val="20"/>
                <w:szCs w:val="20"/>
              </w:rPr>
              <w:t xml:space="preserve">placebo + tratamento </w:t>
            </w:r>
            <w:proofErr w:type="gramStart"/>
            <w:r w:rsidRPr="008E39C5">
              <w:rPr>
                <w:sz w:val="20"/>
                <w:szCs w:val="20"/>
              </w:rPr>
              <w:t>padrão(</w:t>
            </w:r>
            <w:proofErr w:type="gramEnd"/>
            <w:r w:rsidRPr="008E39C5">
              <w:rPr>
                <w:sz w:val="20"/>
                <w:szCs w:val="20"/>
              </w:rPr>
              <w:t>***) (84,1%)</w:t>
            </w:r>
          </w:p>
        </w:tc>
        <w:tc>
          <w:tcPr>
            <w:tcW w:w="1530" w:type="dxa"/>
          </w:tcPr>
          <w:p w14:paraId="0F3E0600" w14:textId="77777777" w:rsidR="00817793" w:rsidRDefault="002719FC">
            <w:pPr>
              <w:spacing w:before="120" w:after="120"/>
              <w:jc w:val="center"/>
              <w:rPr>
                <w:sz w:val="20"/>
                <w:szCs w:val="20"/>
              </w:rPr>
            </w:pPr>
            <w:r>
              <w:rPr>
                <w:sz w:val="20"/>
                <w:szCs w:val="20"/>
              </w:rPr>
              <w:lastRenderedPageBreak/>
              <w:t>SEMANA 12</w:t>
            </w:r>
          </w:p>
          <w:p w14:paraId="5F40E0BC"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40032C16" w14:textId="77777777" w:rsidR="00817793" w:rsidRDefault="002719FC">
            <w:pPr>
              <w:spacing w:before="120" w:after="120"/>
              <w:jc w:val="center"/>
              <w:rPr>
                <w:sz w:val="20"/>
                <w:szCs w:val="20"/>
              </w:rPr>
            </w:pPr>
            <w:r>
              <w:rPr>
                <w:sz w:val="20"/>
                <w:szCs w:val="20"/>
              </w:rPr>
              <w:t>45 pacientes de 87 (51,2%)</w:t>
            </w:r>
          </w:p>
          <w:p w14:paraId="43D6B1D6" w14:textId="77777777" w:rsidR="00817793" w:rsidRDefault="00817793">
            <w:pPr>
              <w:spacing w:before="120" w:after="120"/>
              <w:jc w:val="center"/>
              <w:rPr>
                <w:sz w:val="20"/>
                <w:szCs w:val="20"/>
              </w:rPr>
            </w:pPr>
          </w:p>
          <w:p w14:paraId="7147003E"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38DAC938" w14:textId="77777777" w:rsidR="00817793" w:rsidRDefault="002719FC">
            <w:pPr>
              <w:spacing w:before="120" w:after="120"/>
              <w:jc w:val="center"/>
              <w:rPr>
                <w:sz w:val="20"/>
                <w:szCs w:val="20"/>
              </w:rPr>
            </w:pPr>
            <w:r>
              <w:rPr>
                <w:sz w:val="20"/>
                <w:szCs w:val="20"/>
              </w:rPr>
              <w:lastRenderedPageBreak/>
              <w:t>25 pacientes de 83 (30,2%)</w:t>
            </w:r>
          </w:p>
          <w:p w14:paraId="17DBC151" w14:textId="77777777" w:rsidR="00817793" w:rsidRDefault="00817793">
            <w:pPr>
              <w:spacing w:before="120" w:after="120"/>
              <w:jc w:val="center"/>
              <w:rPr>
                <w:sz w:val="20"/>
                <w:szCs w:val="20"/>
              </w:rPr>
            </w:pPr>
          </w:p>
          <w:p w14:paraId="5392FC10" w14:textId="77777777" w:rsidR="00817793" w:rsidRDefault="002719FC">
            <w:pPr>
              <w:spacing w:before="120" w:after="120"/>
              <w:jc w:val="center"/>
              <w:rPr>
                <w:b/>
                <w:sz w:val="20"/>
                <w:szCs w:val="20"/>
              </w:rPr>
            </w:pPr>
            <w:r>
              <w:rPr>
                <w:b/>
                <w:sz w:val="20"/>
                <w:szCs w:val="20"/>
              </w:rPr>
              <w:t>Diferença 21,2 (6,8; 35,7)</w:t>
            </w:r>
          </w:p>
          <w:p w14:paraId="55119D1D" w14:textId="77777777" w:rsidR="00817793" w:rsidRDefault="002719FC">
            <w:pPr>
              <w:spacing w:before="120" w:after="120"/>
              <w:jc w:val="center"/>
              <w:rPr>
                <w:b/>
                <w:sz w:val="20"/>
                <w:szCs w:val="20"/>
              </w:rPr>
            </w:pPr>
            <w:r>
              <w:rPr>
                <w:b/>
                <w:sz w:val="20"/>
                <w:szCs w:val="20"/>
              </w:rPr>
              <w:t>p=0,01</w:t>
            </w:r>
          </w:p>
        </w:tc>
        <w:tc>
          <w:tcPr>
            <w:tcW w:w="1500" w:type="dxa"/>
          </w:tcPr>
          <w:p w14:paraId="15F5B6E4" w14:textId="77777777" w:rsidR="00817793" w:rsidRDefault="002719FC">
            <w:pPr>
              <w:spacing w:before="120" w:after="120"/>
              <w:jc w:val="center"/>
              <w:rPr>
                <w:sz w:val="20"/>
                <w:szCs w:val="20"/>
              </w:rPr>
            </w:pPr>
            <w:proofErr w:type="spellStart"/>
            <w:r>
              <w:rPr>
                <w:sz w:val="20"/>
                <w:szCs w:val="20"/>
              </w:rPr>
              <w:lastRenderedPageBreak/>
              <w:t>Anifrolumabe</w:t>
            </w:r>
            <w:proofErr w:type="spellEnd"/>
            <w:r>
              <w:rPr>
                <w:sz w:val="20"/>
                <w:szCs w:val="20"/>
              </w:rPr>
              <w:t xml:space="preserve"> 300mg</w:t>
            </w:r>
          </w:p>
          <w:p w14:paraId="31B85DEA" w14:textId="77777777" w:rsidR="00817793" w:rsidRDefault="002719FC">
            <w:pPr>
              <w:spacing w:before="120" w:after="120"/>
              <w:jc w:val="left"/>
              <w:rPr>
                <w:sz w:val="20"/>
                <w:szCs w:val="20"/>
              </w:rPr>
            </w:pPr>
            <w:r>
              <w:rPr>
                <w:sz w:val="20"/>
                <w:szCs w:val="20"/>
              </w:rPr>
              <w:t>24 pacientes de 49 (49%)</w:t>
            </w:r>
          </w:p>
          <w:p w14:paraId="6F8BD81B" w14:textId="77777777" w:rsidR="00817793" w:rsidRDefault="00817793">
            <w:pPr>
              <w:spacing w:before="120" w:after="120"/>
              <w:jc w:val="center"/>
              <w:rPr>
                <w:sz w:val="20"/>
                <w:szCs w:val="20"/>
              </w:rPr>
            </w:pPr>
          </w:p>
          <w:p w14:paraId="0F437873"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4FB8B3E3" w14:textId="77777777" w:rsidR="00817793" w:rsidRDefault="002719FC">
            <w:pPr>
              <w:spacing w:before="120" w:after="120"/>
              <w:jc w:val="center"/>
              <w:rPr>
                <w:sz w:val="20"/>
                <w:szCs w:val="20"/>
              </w:rPr>
            </w:pPr>
            <w:r>
              <w:rPr>
                <w:sz w:val="20"/>
                <w:szCs w:val="20"/>
              </w:rPr>
              <w:t>10 pacientes de 40 (25%)</w:t>
            </w:r>
          </w:p>
          <w:p w14:paraId="2613E9C1" w14:textId="77777777" w:rsidR="00817793" w:rsidRDefault="00817793">
            <w:pPr>
              <w:spacing w:before="120" w:after="120"/>
              <w:jc w:val="center"/>
              <w:rPr>
                <w:sz w:val="20"/>
                <w:szCs w:val="20"/>
              </w:rPr>
            </w:pPr>
          </w:p>
          <w:p w14:paraId="39864D67" w14:textId="77777777" w:rsidR="00817793" w:rsidRDefault="002719FC">
            <w:pPr>
              <w:spacing w:before="120" w:after="120"/>
              <w:jc w:val="center"/>
              <w:rPr>
                <w:b/>
                <w:sz w:val="20"/>
                <w:szCs w:val="20"/>
              </w:rPr>
            </w:pPr>
            <w:r>
              <w:rPr>
                <w:b/>
                <w:sz w:val="20"/>
                <w:szCs w:val="20"/>
              </w:rPr>
              <w:t>Diferença 24,0 (4,3; 43,6)</w:t>
            </w:r>
          </w:p>
          <w:p w14:paraId="19DFE61E" w14:textId="77777777" w:rsidR="00817793" w:rsidRDefault="002719FC">
            <w:pPr>
              <w:spacing w:before="120" w:after="120"/>
              <w:jc w:val="center"/>
              <w:rPr>
                <w:b/>
                <w:sz w:val="20"/>
                <w:szCs w:val="20"/>
              </w:rPr>
            </w:pPr>
            <w:r>
              <w:rPr>
                <w:b/>
                <w:sz w:val="20"/>
                <w:szCs w:val="20"/>
              </w:rPr>
              <w:t>p=0,04</w:t>
            </w:r>
          </w:p>
        </w:tc>
      </w:tr>
      <w:tr w:rsidR="00817793" w14:paraId="341F5EFC" w14:textId="77777777">
        <w:trPr>
          <w:trHeight w:val="656"/>
        </w:trPr>
        <w:tc>
          <w:tcPr>
            <w:tcW w:w="1515" w:type="dxa"/>
            <w:vMerge/>
          </w:tcPr>
          <w:p w14:paraId="1037B8A3" w14:textId="77777777" w:rsidR="00817793" w:rsidRDefault="00817793">
            <w:pPr>
              <w:widowControl w:val="0"/>
              <w:pBdr>
                <w:top w:val="nil"/>
                <w:left w:val="nil"/>
                <w:bottom w:val="nil"/>
                <w:right w:val="nil"/>
                <w:between w:val="nil"/>
              </w:pBdr>
              <w:spacing w:before="0" w:line="276" w:lineRule="auto"/>
              <w:jc w:val="left"/>
              <w:rPr>
                <w:sz w:val="20"/>
                <w:szCs w:val="20"/>
                <w:highlight w:val="yellow"/>
              </w:rPr>
            </w:pPr>
          </w:p>
        </w:tc>
        <w:tc>
          <w:tcPr>
            <w:tcW w:w="1515" w:type="dxa"/>
          </w:tcPr>
          <w:p w14:paraId="7E0CB7FE" w14:textId="77777777" w:rsidR="00817793" w:rsidRDefault="002719FC">
            <w:pPr>
              <w:spacing w:before="120" w:after="120"/>
              <w:jc w:val="center"/>
              <w:rPr>
                <w:sz w:val="20"/>
                <w:szCs w:val="20"/>
              </w:rPr>
            </w:pPr>
            <w:r>
              <w:rPr>
                <w:sz w:val="20"/>
                <w:szCs w:val="20"/>
              </w:rPr>
              <w:t>X</w:t>
            </w:r>
          </w:p>
        </w:tc>
        <w:tc>
          <w:tcPr>
            <w:tcW w:w="1380" w:type="dxa"/>
          </w:tcPr>
          <w:p w14:paraId="3A885BD0" w14:textId="77777777" w:rsidR="00817793" w:rsidRDefault="002719FC">
            <w:pPr>
              <w:spacing w:before="120" w:after="120"/>
              <w:jc w:val="center"/>
              <w:rPr>
                <w:sz w:val="20"/>
                <w:szCs w:val="20"/>
              </w:rPr>
            </w:pPr>
            <w:r>
              <w:rPr>
                <w:sz w:val="20"/>
                <w:szCs w:val="20"/>
              </w:rPr>
              <w:t xml:space="preserve">A diferença absoluta de 16,3% indica que uma proporção maior de pacientes tratados com </w:t>
            </w:r>
            <w:proofErr w:type="spellStart"/>
            <w:r>
              <w:rPr>
                <w:sz w:val="20"/>
                <w:szCs w:val="20"/>
              </w:rPr>
              <w:t>anifrolumabe</w:t>
            </w:r>
            <w:proofErr w:type="spellEnd"/>
            <w:r>
              <w:rPr>
                <w:sz w:val="20"/>
                <w:szCs w:val="20"/>
              </w:rPr>
              <w:t xml:space="preserve"> 300 mg alcançou resposta no BICLA em comparação ao grupo placebo + tratamento </w:t>
            </w:r>
            <w:proofErr w:type="gramStart"/>
            <w:r>
              <w:rPr>
                <w:sz w:val="20"/>
                <w:szCs w:val="20"/>
              </w:rPr>
              <w:t>padrão(</w:t>
            </w:r>
            <w:proofErr w:type="gramEnd"/>
            <w:r>
              <w:rPr>
                <w:sz w:val="20"/>
                <w:szCs w:val="20"/>
              </w:rPr>
              <w:t>***). Com significância estatística.</w:t>
            </w:r>
          </w:p>
        </w:tc>
        <w:tc>
          <w:tcPr>
            <w:tcW w:w="1650" w:type="dxa"/>
          </w:tcPr>
          <w:p w14:paraId="466B6BF8" w14:textId="77777777" w:rsidR="00817793" w:rsidRPr="008E39C5" w:rsidRDefault="002719FC">
            <w:pPr>
              <w:spacing w:before="120" w:after="120"/>
              <w:jc w:val="center"/>
              <w:rPr>
                <w:sz w:val="20"/>
                <w:szCs w:val="20"/>
              </w:rPr>
            </w:pPr>
            <w:r w:rsidRPr="008E39C5">
              <w:rPr>
                <w:sz w:val="20"/>
                <w:szCs w:val="20"/>
              </w:rPr>
              <w:t xml:space="preserve">Perfil de segurança semelhante entre </w:t>
            </w:r>
            <w:proofErr w:type="spellStart"/>
            <w:r w:rsidRPr="008E39C5">
              <w:rPr>
                <w:sz w:val="20"/>
                <w:szCs w:val="20"/>
              </w:rPr>
              <w:t>anifrolumabe</w:t>
            </w:r>
            <w:proofErr w:type="spellEnd"/>
            <w:r w:rsidRPr="008E39C5">
              <w:rPr>
                <w:sz w:val="20"/>
                <w:szCs w:val="20"/>
              </w:rPr>
              <w:t xml:space="preserve"> e placebo + tratamento </w:t>
            </w:r>
            <w:proofErr w:type="gramStart"/>
            <w:r w:rsidRPr="008E39C5">
              <w:rPr>
                <w:sz w:val="20"/>
                <w:szCs w:val="20"/>
              </w:rPr>
              <w:t>padrão(</w:t>
            </w:r>
            <w:proofErr w:type="gramEnd"/>
            <w:r w:rsidRPr="008E39C5">
              <w:rPr>
                <w:sz w:val="20"/>
                <w:szCs w:val="20"/>
              </w:rPr>
              <w:t>***)</w:t>
            </w:r>
          </w:p>
        </w:tc>
        <w:tc>
          <w:tcPr>
            <w:tcW w:w="1530" w:type="dxa"/>
          </w:tcPr>
          <w:p w14:paraId="06961395" w14:textId="77777777" w:rsidR="00817793" w:rsidRDefault="002719FC">
            <w:pPr>
              <w:spacing w:before="120" w:after="120"/>
              <w:jc w:val="center"/>
              <w:rPr>
                <w:sz w:val="20"/>
                <w:szCs w:val="20"/>
              </w:rPr>
            </w:pPr>
            <w:r>
              <w:rPr>
                <w:sz w:val="20"/>
                <w:szCs w:val="20"/>
              </w:rPr>
              <w:t xml:space="preserve">A diferença absoluta de 21,2% indica que uma proporção maior de pacientes tratados com </w:t>
            </w:r>
            <w:proofErr w:type="spellStart"/>
            <w:r>
              <w:rPr>
                <w:sz w:val="20"/>
                <w:szCs w:val="20"/>
              </w:rPr>
              <w:t>anifrolumabe</w:t>
            </w:r>
            <w:proofErr w:type="spellEnd"/>
            <w:r>
              <w:rPr>
                <w:sz w:val="20"/>
                <w:szCs w:val="20"/>
              </w:rPr>
              <w:t xml:space="preserve"> 300 mg alcançou redução sustentada do uso de corticosteroide em comparação ao grupo placebo + tratamento </w:t>
            </w:r>
            <w:proofErr w:type="gramStart"/>
            <w:r>
              <w:rPr>
                <w:sz w:val="20"/>
                <w:szCs w:val="20"/>
              </w:rPr>
              <w:t>padrão(</w:t>
            </w:r>
            <w:proofErr w:type="gramEnd"/>
            <w:r>
              <w:rPr>
                <w:sz w:val="20"/>
                <w:szCs w:val="20"/>
              </w:rPr>
              <w:t>***). Com significância estatística.</w:t>
            </w:r>
          </w:p>
        </w:tc>
        <w:tc>
          <w:tcPr>
            <w:tcW w:w="1500" w:type="dxa"/>
          </w:tcPr>
          <w:p w14:paraId="451DC7BD" w14:textId="77777777" w:rsidR="00817793" w:rsidRDefault="002719FC">
            <w:pPr>
              <w:spacing w:before="120" w:after="120"/>
              <w:jc w:val="center"/>
              <w:rPr>
                <w:sz w:val="20"/>
                <w:szCs w:val="20"/>
              </w:rPr>
            </w:pPr>
            <w:r>
              <w:rPr>
                <w:sz w:val="20"/>
                <w:szCs w:val="20"/>
              </w:rPr>
              <w:t xml:space="preserve">A diferença absoluta de 24,0% indica que uma proporção maior de pacientes tratados com </w:t>
            </w:r>
            <w:proofErr w:type="spellStart"/>
            <w:r>
              <w:rPr>
                <w:sz w:val="20"/>
                <w:szCs w:val="20"/>
              </w:rPr>
              <w:t>anifrolumabe</w:t>
            </w:r>
            <w:proofErr w:type="spellEnd"/>
            <w:r>
              <w:rPr>
                <w:sz w:val="20"/>
                <w:szCs w:val="20"/>
              </w:rPr>
              <w:t xml:space="preserve"> 300 mg na melhoria das manifestações cutâneas em comparação ao grupo placebo + tratamento </w:t>
            </w:r>
            <w:proofErr w:type="gramStart"/>
            <w:r>
              <w:rPr>
                <w:sz w:val="20"/>
                <w:szCs w:val="20"/>
              </w:rPr>
              <w:t>padrão(</w:t>
            </w:r>
            <w:proofErr w:type="gramEnd"/>
            <w:r>
              <w:rPr>
                <w:sz w:val="20"/>
                <w:szCs w:val="20"/>
              </w:rPr>
              <w:t>***). Com significância estatística.</w:t>
            </w:r>
          </w:p>
        </w:tc>
      </w:tr>
      <w:tr w:rsidR="00817793" w14:paraId="19625251" w14:textId="77777777">
        <w:trPr>
          <w:trHeight w:val="656"/>
        </w:trPr>
        <w:tc>
          <w:tcPr>
            <w:tcW w:w="1515" w:type="dxa"/>
            <w:vMerge w:val="restart"/>
          </w:tcPr>
          <w:p w14:paraId="4B848740" w14:textId="77777777" w:rsidR="00817793" w:rsidRPr="00B47CA5" w:rsidRDefault="002719FC">
            <w:pPr>
              <w:widowControl w:val="0"/>
              <w:pBdr>
                <w:top w:val="nil"/>
                <w:left w:val="nil"/>
                <w:bottom w:val="nil"/>
                <w:right w:val="nil"/>
                <w:between w:val="nil"/>
              </w:pBdr>
              <w:spacing w:before="0" w:line="276" w:lineRule="auto"/>
              <w:jc w:val="left"/>
              <w:rPr>
                <w:sz w:val="20"/>
                <w:szCs w:val="20"/>
                <w:lang w:val="de-DE"/>
              </w:rPr>
            </w:pPr>
            <w:r w:rsidRPr="00B47CA5">
              <w:rPr>
                <w:sz w:val="20"/>
                <w:szCs w:val="20"/>
                <w:lang w:val="de-DE"/>
              </w:rPr>
              <w:t>Kalunian et al. (2023)</w:t>
            </w:r>
          </w:p>
          <w:p w14:paraId="05204BDF" w14:textId="77777777" w:rsidR="00817793" w:rsidRPr="00B47CA5" w:rsidRDefault="002719FC">
            <w:pPr>
              <w:widowControl w:val="0"/>
              <w:pBdr>
                <w:top w:val="nil"/>
                <w:left w:val="nil"/>
                <w:bottom w:val="nil"/>
                <w:right w:val="nil"/>
                <w:between w:val="nil"/>
              </w:pBdr>
              <w:spacing w:before="0" w:line="276" w:lineRule="auto"/>
              <w:jc w:val="left"/>
              <w:rPr>
                <w:sz w:val="20"/>
                <w:szCs w:val="20"/>
                <w:lang w:val="de-DE"/>
              </w:rPr>
            </w:pPr>
            <w:r w:rsidRPr="00B47CA5">
              <w:rPr>
                <w:sz w:val="20"/>
                <w:szCs w:val="20"/>
                <w:lang w:val="de-DE"/>
              </w:rPr>
              <w:t>TULIP-LTE</w:t>
            </w:r>
          </w:p>
        </w:tc>
        <w:tc>
          <w:tcPr>
            <w:tcW w:w="1515" w:type="dxa"/>
          </w:tcPr>
          <w:p w14:paraId="41E61A33" w14:textId="77777777" w:rsidR="00817793" w:rsidRDefault="002719FC">
            <w:pPr>
              <w:spacing w:before="120" w:after="120"/>
              <w:jc w:val="center"/>
              <w:rPr>
                <w:sz w:val="20"/>
                <w:szCs w:val="20"/>
              </w:rPr>
            </w:pPr>
            <w:r>
              <w:rPr>
                <w:sz w:val="20"/>
                <w:szCs w:val="20"/>
              </w:rPr>
              <w:t>X</w:t>
            </w:r>
          </w:p>
        </w:tc>
        <w:tc>
          <w:tcPr>
            <w:tcW w:w="1380" w:type="dxa"/>
          </w:tcPr>
          <w:p w14:paraId="2A5697B1" w14:textId="77777777" w:rsidR="00817793" w:rsidRDefault="002719FC">
            <w:pPr>
              <w:spacing w:before="120" w:after="120"/>
              <w:jc w:val="center"/>
              <w:rPr>
                <w:sz w:val="20"/>
                <w:szCs w:val="20"/>
              </w:rPr>
            </w:pPr>
            <w:r>
              <w:rPr>
                <w:sz w:val="20"/>
                <w:szCs w:val="20"/>
              </w:rPr>
              <w:t>X</w:t>
            </w:r>
          </w:p>
        </w:tc>
        <w:tc>
          <w:tcPr>
            <w:tcW w:w="1650" w:type="dxa"/>
          </w:tcPr>
          <w:p w14:paraId="56D2B43D" w14:textId="77777777" w:rsidR="00A164A9" w:rsidRDefault="002719FC">
            <w:pPr>
              <w:spacing w:before="120" w:after="120"/>
              <w:jc w:val="center"/>
              <w:rPr>
                <w:sz w:val="20"/>
                <w:szCs w:val="20"/>
              </w:rPr>
            </w:pPr>
            <w:proofErr w:type="spellStart"/>
            <w:r>
              <w:rPr>
                <w:sz w:val="20"/>
                <w:szCs w:val="20"/>
              </w:rPr>
              <w:t>Anifrolumabe</w:t>
            </w:r>
            <w:proofErr w:type="spellEnd"/>
            <w:r>
              <w:rPr>
                <w:sz w:val="20"/>
                <w:szCs w:val="20"/>
              </w:rPr>
              <w:t xml:space="preserve"> 300 mg </w:t>
            </w:r>
          </w:p>
          <w:p w14:paraId="3A1D3E8F" w14:textId="62EDC606" w:rsidR="00817793" w:rsidRDefault="002719FC">
            <w:pPr>
              <w:spacing w:before="120" w:after="120"/>
              <w:jc w:val="center"/>
              <w:rPr>
                <w:sz w:val="20"/>
                <w:szCs w:val="20"/>
              </w:rPr>
            </w:pPr>
            <w:r>
              <w:rPr>
                <w:sz w:val="20"/>
                <w:szCs w:val="20"/>
              </w:rPr>
              <w:t>58/257 (22,6%)</w:t>
            </w:r>
          </w:p>
          <w:p w14:paraId="1987EF77" w14:textId="77777777" w:rsidR="00817793" w:rsidRPr="00A164A9" w:rsidRDefault="002719FC">
            <w:pPr>
              <w:spacing w:before="120" w:after="120"/>
              <w:jc w:val="center"/>
              <w:rPr>
                <w:i/>
                <w:iCs/>
                <w:sz w:val="20"/>
                <w:szCs w:val="20"/>
              </w:rPr>
            </w:pPr>
            <w:r w:rsidRPr="00A164A9">
              <w:rPr>
                <w:i/>
                <w:iCs/>
                <w:sz w:val="20"/>
                <w:szCs w:val="20"/>
              </w:rPr>
              <w:t>versus</w:t>
            </w:r>
          </w:p>
          <w:p w14:paraId="27EA4F37" w14:textId="77777777" w:rsidR="00A164A9"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75229771" w14:textId="76048EE1" w:rsidR="00817793" w:rsidRDefault="002719FC">
            <w:pPr>
              <w:spacing w:before="120" w:after="120"/>
              <w:jc w:val="center"/>
              <w:rPr>
                <w:sz w:val="20"/>
                <w:szCs w:val="20"/>
              </w:rPr>
            </w:pPr>
            <w:r>
              <w:rPr>
                <w:sz w:val="20"/>
                <w:szCs w:val="20"/>
              </w:rPr>
              <w:t>28/257(25%).</w:t>
            </w:r>
          </w:p>
        </w:tc>
        <w:tc>
          <w:tcPr>
            <w:tcW w:w="1530" w:type="dxa"/>
          </w:tcPr>
          <w:p w14:paraId="34FDDE82"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32C3D9B6" w14:textId="77777777" w:rsidR="00817793" w:rsidRDefault="002719FC">
            <w:pPr>
              <w:spacing w:before="120" w:after="120"/>
              <w:jc w:val="center"/>
              <w:rPr>
                <w:sz w:val="20"/>
                <w:szCs w:val="20"/>
              </w:rPr>
            </w:pPr>
            <w:r>
              <w:rPr>
                <w:sz w:val="20"/>
                <w:szCs w:val="20"/>
              </w:rPr>
              <w:t>36,4%</w:t>
            </w:r>
          </w:p>
          <w:p w14:paraId="687C6DE0" w14:textId="77777777" w:rsidR="00817793" w:rsidRDefault="00817793">
            <w:pPr>
              <w:spacing w:before="120" w:after="120"/>
              <w:jc w:val="center"/>
              <w:rPr>
                <w:sz w:val="20"/>
                <w:szCs w:val="20"/>
              </w:rPr>
            </w:pPr>
          </w:p>
          <w:p w14:paraId="2A73188C"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1AAEA12E" w14:textId="77777777" w:rsidR="00817793" w:rsidRDefault="002719FC">
            <w:pPr>
              <w:spacing w:before="120" w:after="120"/>
              <w:jc w:val="center"/>
              <w:rPr>
                <w:sz w:val="20"/>
                <w:szCs w:val="20"/>
              </w:rPr>
            </w:pPr>
            <w:r>
              <w:rPr>
                <w:sz w:val="20"/>
                <w:szCs w:val="20"/>
              </w:rPr>
              <w:t>26,8%</w:t>
            </w:r>
          </w:p>
          <w:p w14:paraId="5B2F9378" w14:textId="77777777" w:rsidR="00817793" w:rsidRDefault="00817793">
            <w:pPr>
              <w:spacing w:before="120" w:after="120"/>
              <w:jc w:val="center"/>
              <w:rPr>
                <w:sz w:val="20"/>
                <w:szCs w:val="20"/>
              </w:rPr>
            </w:pPr>
          </w:p>
        </w:tc>
        <w:tc>
          <w:tcPr>
            <w:tcW w:w="1500" w:type="dxa"/>
          </w:tcPr>
          <w:p w14:paraId="42BFB87D" w14:textId="77777777" w:rsidR="00817793" w:rsidRDefault="002719FC">
            <w:pPr>
              <w:spacing w:before="120" w:after="120"/>
              <w:jc w:val="center"/>
              <w:rPr>
                <w:sz w:val="20"/>
                <w:szCs w:val="20"/>
              </w:rPr>
            </w:pPr>
            <w:r>
              <w:rPr>
                <w:b/>
                <w:sz w:val="20"/>
                <w:szCs w:val="20"/>
              </w:rPr>
              <w:t xml:space="preserve">Desfecho </w:t>
            </w:r>
            <w:proofErr w:type="gramStart"/>
            <w:r>
              <w:rPr>
                <w:b/>
                <w:sz w:val="20"/>
                <w:szCs w:val="20"/>
              </w:rPr>
              <w:t>Secundário(</w:t>
            </w:r>
            <w:proofErr w:type="gramEnd"/>
            <w:r>
              <w:rPr>
                <w:b/>
                <w:sz w:val="20"/>
                <w:szCs w:val="20"/>
              </w:rPr>
              <w:t>**)</w:t>
            </w:r>
          </w:p>
          <w:p w14:paraId="40699345" w14:textId="77777777" w:rsidR="00817793" w:rsidRDefault="002719FC">
            <w:pPr>
              <w:spacing w:before="120" w:after="120"/>
              <w:jc w:val="center"/>
              <w:rPr>
                <w:sz w:val="20"/>
                <w:szCs w:val="20"/>
              </w:rPr>
            </w:pPr>
            <w:r>
              <w:rPr>
                <w:sz w:val="20"/>
                <w:szCs w:val="20"/>
              </w:rPr>
              <w:t>Atividade da doença (SLEDAI-2K)</w:t>
            </w:r>
          </w:p>
          <w:p w14:paraId="647B7941" w14:textId="77777777" w:rsidR="00817793" w:rsidRDefault="002719FC">
            <w:pPr>
              <w:spacing w:before="120" w:after="120"/>
              <w:jc w:val="center"/>
              <w:rPr>
                <w:sz w:val="20"/>
                <w:szCs w:val="20"/>
                <w:u w:val="single"/>
              </w:rPr>
            </w:pPr>
            <w:r>
              <w:rPr>
                <w:sz w:val="20"/>
                <w:szCs w:val="20"/>
                <w:u w:val="single"/>
              </w:rPr>
              <w:t>Pacientes que iniciaram no ECR TULIP</w:t>
            </w:r>
          </w:p>
          <w:p w14:paraId="1B9E0424"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523B969C" w14:textId="77777777" w:rsidR="00817793" w:rsidRDefault="002719FC">
            <w:pPr>
              <w:spacing w:before="120" w:after="120"/>
              <w:jc w:val="center"/>
              <w:rPr>
                <w:sz w:val="20"/>
                <w:szCs w:val="20"/>
              </w:rPr>
            </w:pPr>
            <w:r>
              <w:rPr>
                <w:sz w:val="20"/>
                <w:szCs w:val="20"/>
              </w:rPr>
              <w:t>Scores: 11,4 +/- 3,8</w:t>
            </w:r>
          </w:p>
          <w:p w14:paraId="58E6DD4E" w14:textId="77777777" w:rsidR="00817793" w:rsidRDefault="00817793">
            <w:pPr>
              <w:spacing w:before="120" w:after="120"/>
              <w:jc w:val="center"/>
              <w:rPr>
                <w:sz w:val="20"/>
                <w:szCs w:val="20"/>
              </w:rPr>
            </w:pPr>
          </w:p>
          <w:p w14:paraId="221876B8"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6B600B0C" w14:textId="77777777" w:rsidR="00817793" w:rsidRDefault="002719FC">
            <w:pPr>
              <w:spacing w:before="120" w:after="120"/>
              <w:jc w:val="center"/>
              <w:rPr>
                <w:sz w:val="20"/>
                <w:szCs w:val="20"/>
              </w:rPr>
            </w:pPr>
            <w:r>
              <w:rPr>
                <w:sz w:val="20"/>
                <w:szCs w:val="20"/>
              </w:rPr>
              <w:t>Scores: 11,3 +/- 3,9</w:t>
            </w:r>
          </w:p>
          <w:p w14:paraId="7D3BEE8F" w14:textId="77777777" w:rsidR="00817793" w:rsidRDefault="00817793">
            <w:pPr>
              <w:spacing w:before="120" w:after="120"/>
              <w:jc w:val="center"/>
              <w:rPr>
                <w:sz w:val="20"/>
                <w:szCs w:val="20"/>
              </w:rPr>
            </w:pPr>
          </w:p>
          <w:p w14:paraId="2D12E0D7" w14:textId="77777777" w:rsidR="00817793" w:rsidRDefault="002719FC">
            <w:pPr>
              <w:spacing w:before="120" w:after="120"/>
              <w:jc w:val="center"/>
              <w:rPr>
                <w:sz w:val="20"/>
                <w:szCs w:val="20"/>
                <w:u w:val="single"/>
              </w:rPr>
            </w:pPr>
            <w:r>
              <w:rPr>
                <w:sz w:val="20"/>
                <w:szCs w:val="20"/>
                <w:u w:val="single"/>
              </w:rPr>
              <w:t>Pacientes que iniciaram no ECR LTE</w:t>
            </w:r>
          </w:p>
          <w:p w14:paraId="635369F3" w14:textId="77777777" w:rsidR="00817793" w:rsidRDefault="002719FC">
            <w:pPr>
              <w:spacing w:before="120" w:after="120"/>
              <w:jc w:val="center"/>
              <w:rPr>
                <w:sz w:val="20"/>
                <w:szCs w:val="20"/>
              </w:rPr>
            </w:pPr>
            <w:proofErr w:type="spellStart"/>
            <w:r>
              <w:rPr>
                <w:sz w:val="20"/>
                <w:szCs w:val="20"/>
              </w:rPr>
              <w:t>Anifrolumabe</w:t>
            </w:r>
            <w:proofErr w:type="spellEnd"/>
            <w:r>
              <w:rPr>
                <w:sz w:val="20"/>
                <w:szCs w:val="20"/>
              </w:rPr>
              <w:t xml:space="preserve"> 300mg</w:t>
            </w:r>
          </w:p>
          <w:p w14:paraId="321960C4" w14:textId="77777777" w:rsidR="00817793" w:rsidRDefault="002719FC">
            <w:pPr>
              <w:spacing w:before="120" w:after="120"/>
              <w:jc w:val="center"/>
              <w:rPr>
                <w:sz w:val="20"/>
                <w:szCs w:val="20"/>
              </w:rPr>
            </w:pPr>
            <w:r>
              <w:rPr>
                <w:sz w:val="20"/>
                <w:szCs w:val="20"/>
              </w:rPr>
              <w:t>Scores: 5,1 +/- 3,5</w:t>
            </w:r>
          </w:p>
          <w:p w14:paraId="3B88899E" w14:textId="77777777" w:rsidR="00817793" w:rsidRDefault="00817793">
            <w:pPr>
              <w:spacing w:before="120" w:after="120"/>
              <w:jc w:val="center"/>
              <w:rPr>
                <w:sz w:val="20"/>
                <w:szCs w:val="20"/>
              </w:rPr>
            </w:pPr>
          </w:p>
          <w:p w14:paraId="76B7780F" w14:textId="77777777" w:rsidR="00817793" w:rsidRDefault="002719FC">
            <w:pPr>
              <w:spacing w:before="120" w:after="120"/>
              <w:jc w:val="center"/>
              <w:rPr>
                <w:sz w:val="20"/>
                <w:szCs w:val="20"/>
              </w:rPr>
            </w:pPr>
            <w:r>
              <w:rPr>
                <w:sz w:val="20"/>
                <w:szCs w:val="20"/>
              </w:rPr>
              <w:t xml:space="preserve">Placebo + tratamento </w:t>
            </w:r>
            <w:proofErr w:type="gramStart"/>
            <w:r>
              <w:rPr>
                <w:sz w:val="20"/>
                <w:szCs w:val="20"/>
              </w:rPr>
              <w:t>padrão(</w:t>
            </w:r>
            <w:proofErr w:type="gramEnd"/>
            <w:r>
              <w:rPr>
                <w:sz w:val="20"/>
                <w:szCs w:val="20"/>
              </w:rPr>
              <w:t>***)</w:t>
            </w:r>
          </w:p>
          <w:p w14:paraId="4D37050C" w14:textId="77777777" w:rsidR="00817793" w:rsidRDefault="002719FC">
            <w:pPr>
              <w:spacing w:before="120" w:after="120"/>
              <w:jc w:val="center"/>
              <w:rPr>
                <w:sz w:val="20"/>
                <w:szCs w:val="20"/>
              </w:rPr>
            </w:pPr>
            <w:r>
              <w:rPr>
                <w:sz w:val="20"/>
                <w:szCs w:val="20"/>
              </w:rPr>
              <w:t>Scores: 6,0 +/- 4,1</w:t>
            </w:r>
          </w:p>
          <w:p w14:paraId="69E2BB2B" w14:textId="77777777" w:rsidR="00817793" w:rsidRDefault="00817793">
            <w:pPr>
              <w:spacing w:before="120" w:after="120"/>
              <w:jc w:val="center"/>
              <w:rPr>
                <w:sz w:val="20"/>
                <w:szCs w:val="20"/>
              </w:rPr>
            </w:pPr>
          </w:p>
        </w:tc>
      </w:tr>
      <w:tr w:rsidR="00817793" w14:paraId="203B819C" w14:textId="77777777">
        <w:trPr>
          <w:trHeight w:val="656"/>
        </w:trPr>
        <w:tc>
          <w:tcPr>
            <w:tcW w:w="1515" w:type="dxa"/>
            <w:vMerge/>
          </w:tcPr>
          <w:p w14:paraId="57C0D796" w14:textId="77777777" w:rsidR="00817793" w:rsidRDefault="00817793">
            <w:pPr>
              <w:widowControl w:val="0"/>
              <w:pBdr>
                <w:top w:val="nil"/>
                <w:left w:val="nil"/>
                <w:bottom w:val="nil"/>
                <w:right w:val="nil"/>
                <w:between w:val="nil"/>
              </w:pBdr>
              <w:spacing w:before="0"/>
              <w:jc w:val="left"/>
              <w:rPr>
                <w:sz w:val="20"/>
                <w:szCs w:val="20"/>
                <w:highlight w:val="yellow"/>
              </w:rPr>
            </w:pPr>
          </w:p>
        </w:tc>
        <w:tc>
          <w:tcPr>
            <w:tcW w:w="1515" w:type="dxa"/>
          </w:tcPr>
          <w:p w14:paraId="2AA7E729" w14:textId="77777777" w:rsidR="00817793" w:rsidRDefault="002719FC">
            <w:pPr>
              <w:spacing w:before="120" w:after="120"/>
              <w:jc w:val="center"/>
              <w:rPr>
                <w:sz w:val="20"/>
                <w:szCs w:val="20"/>
              </w:rPr>
            </w:pPr>
            <w:r>
              <w:rPr>
                <w:sz w:val="20"/>
                <w:szCs w:val="20"/>
              </w:rPr>
              <w:t>X</w:t>
            </w:r>
          </w:p>
        </w:tc>
        <w:tc>
          <w:tcPr>
            <w:tcW w:w="1380" w:type="dxa"/>
          </w:tcPr>
          <w:p w14:paraId="6AE3BE76" w14:textId="77777777" w:rsidR="00817793" w:rsidRDefault="002719FC">
            <w:pPr>
              <w:spacing w:before="120" w:after="120"/>
              <w:jc w:val="center"/>
              <w:rPr>
                <w:sz w:val="20"/>
                <w:szCs w:val="20"/>
              </w:rPr>
            </w:pPr>
            <w:r>
              <w:rPr>
                <w:sz w:val="20"/>
                <w:szCs w:val="20"/>
              </w:rPr>
              <w:t>X</w:t>
            </w:r>
          </w:p>
        </w:tc>
        <w:tc>
          <w:tcPr>
            <w:tcW w:w="1650" w:type="dxa"/>
          </w:tcPr>
          <w:p w14:paraId="3C93A0C3" w14:textId="77777777" w:rsidR="00817793" w:rsidRDefault="002719FC">
            <w:pPr>
              <w:spacing w:before="120" w:after="120"/>
              <w:jc w:val="center"/>
              <w:rPr>
                <w:sz w:val="20"/>
                <w:szCs w:val="20"/>
              </w:rPr>
            </w:pPr>
            <w:r>
              <w:rPr>
                <w:sz w:val="20"/>
                <w:szCs w:val="20"/>
              </w:rPr>
              <w:t xml:space="preserve">Perfil de segurança semelhante entre </w:t>
            </w:r>
            <w:proofErr w:type="spellStart"/>
            <w:r>
              <w:rPr>
                <w:sz w:val="20"/>
                <w:szCs w:val="20"/>
              </w:rPr>
              <w:t>anifrolumabe</w:t>
            </w:r>
            <w:proofErr w:type="spellEnd"/>
            <w:r>
              <w:rPr>
                <w:sz w:val="20"/>
                <w:szCs w:val="20"/>
              </w:rPr>
              <w:t xml:space="preserve"> e placebo + tratamento </w:t>
            </w:r>
            <w:proofErr w:type="gramStart"/>
            <w:r>
              <w:rPr>
                <w:sz w:val="20"/>
                <w:szCs w:val="20"/>
              </w:rPr>
              <w:t>padrão(</w:t>
            </w:r>
            <w:proofErr w:type="gramEnd"/>
            <w:r>
              <w:rPr>
                <w:sz w:val="20"/>
                <w:szCs w:val="20"/>
              </w:rPr>
              <w:t>***)</w:t>
            </w:r>
          </w:p>
        </w:tc>
        <w:tc>
          <w:tcPr>
            <w:tcW w:w="1530" w:type="dxa"/>
          </w:tcPr>
          <w:p w14:paraId="2AEB0251" w14:textId="6C595CC0" w:rsidR="00817793" w:rsidRDefault="002719FC">
            <w:pPr>
              <w:spacing w:before="120" w:after="120"/>
              <w:jc w:val="center"/>
              <w:rPr>
                <w:sz w:val="20"/>
                <w:szCs w:val="20"/>
              </w:rPr>
            </w:pPr>
            <w:r>
              <w:rPr>
                <w:sz w:val="20"/>
                <w:szCs w:val="20"/>
              </w:rPr>
              <w:t xml:space="preserve">Ao final do estudo, 36,4% dos pacientes no grupo </w:t>
            </w:r>
            <w:proofErr w:type="spellStart"/>
            <w:r>
              <w:rPr>
                <w:sz w:val="20"/>
                <w:szCs w:val="20"/>
              </w:rPr>
              <w:t>anifrolumabe</w:t>
            </w:r>
            <w:proofErr w:type="spellEnd"/>
            <w:r>
              <w:rPr>
                <w:sz w:val="20"/>
                <w:szCs w:val="20"/>
              </w:rPr>
              <w:t xml:space="preserve"> estavam livres de glicocorticoides, comparado a 26,8% no grupo placebo + tratamento </w:t>
            </w:r>
            <w:proofErr w:type="gramStart"/>
            <w:r>
              <w:rPr>
                <w:sz w:val="20"/>
                <w:szCs w:val="20"/>
              </w:rPr>
              <w:t>padrão(</w:t>
            </w:r>
            <w:proofErr w:type="gramEnd"/>
            <w:r>
              <w:rPr>
                <w:sz w:val="20"/>
                <w:szCs w:val="20"/>
              </w:rPr>
              <w:t>***)</w:t>
            </w:r>
          </w:p>
        </w:tc>
        <w:tc>
          <w:tcPr>
            <w:tcW w:w="1500" w:type="dxa"/>
          </w:tcPr>
          <w:p w14:paraId="365FCB65" w14:textId="77777777" w:rsidR="00817793" w:rsidRDefault="002719FC">
            <w:pPr>
              <w:spacing w:before="120" w:after="120"/>
              <w:jc w:val="center"/>
              <w:rPr>
                <w:sz w:val="20"/>
                <w:szCs w:val="20"/>
              </w:rPr>
            </w:pPr>
            <w:r>
              <w:rPr>
                <w:sz w:val="20"/>
                <w:szCs w:val="20"/>
              </w:rPr>
              <w:t xml:space="preserve">Para o desfecho da atividade da doença não há diferença estatística entre o grupo </w:t>
            </w:r>
            <w:proofErr w:type="spellStart"/>
            <w:r>
              <w:rPr>
                <w:sz w:val="20"/>
                <w:szCs w:val="20"/>
              </w:rPr>
              <w:t>anifrolumabe</w:t>
            </w:r>
            <w:proofErr w:type="spellEnd"/>
            <w:r>
              <w:rPr>
                <w:sz w:val="20"/>
                <w:szCs w:val="20"/>
              </w:rPr>
              <w:t xml:space="preserve"> e placebo + tratamento </w:t>
            </w:r>
            <w:proofErr w:type="gramStart"/>
            <w:r>
              <w:rPr>
                <w:sz w:val="20"/>
                <w:szCs w:val="20"/>
              </w:rPr>
              <w:t>padrão(</w:t>
            </w:r>
            <w:proofErr w:type="gramEnd"/>
            <w:r>
              <w:rPr>
                <w:sz w:val="20"/>
                <w:szCs w:val="20"/>
              </w:rPr>
              <w:t>***).</w:t>
            </w:r>
          </w:p>
        </w:tc>
      </w:tr>
    </w:tbl>
    <w:p w14:paraId="356444F5" w14:textId="4C39EECA" w:rsidR="00817793" w:rsidRDefault="002719FC">
      <w:pPr>
        <w:spacing w:before="0" w:after="0"/>
      </w:pPr>
      <w:r>
        <w:t>Legenda: (*) classificação do desfecho primário na PICO revisada pelos pareceristas; (**) classificação do desfecho primário na PICO revisada pelos pareceristas; (***) Os pacientes estavam em tratamento estável com pelo menos um dos seguintes medicamentos: Corticosteroides orais (como a prednisona) ou equivalente</w:t>
      </w:r>
      <w:r w:rsidR="00A164A9">
        <w:t>;</w:t>
      </w:r>
      <w:r>
        <w:t xml:space="preserve"> Antimaláricos (como a hidroxicloroquina)</w:t>
      </w:r>
      <w:r w:rsidR="00A164A9">
        <w:t>;</w:t>
      </w:r>
      <w:r>
        <w:t xml:space="preserve"> Imunossupressores </w:t>
      </w:r>
      <w:r w:rsidR="00A164A9">
        <w:t>(</w:t>
      </w:r>
      <w:r>
        <w:t xml:space="preserve">incluindo: </w:t>
      </w:r>
      <w:proofErr w:type="spellStart"/>
      <w:r>
        <w:t>Azatioprina</w:t>
      </w:r>
      <w:proofErr w:type="spellEnd"/>
      <w:r>
        <w:t xml:space="preserve">, </w:t>
      </w:r>
      <w:proofErr w:type="spellStart"/>
      <w:r>
        <w:t>Mizoribina</w:t>
      </w:r>
      <w:proofErr w:type="spellEnd"/>
      <w:r>
        <w:t xml:space="preserve">, </w:t>
      </w:r>
      <w:proofErr w:type="spellStart"/>
      <w:r>
        <w:t>Micofenolato</w:t>
      </w:r>
      <w:proofErr w:type="spellEnd"/>
      <w:r>
        <w:t xml:space="preserve"> </w:t>
      </w:r>
      <w:proofErr w:type="spellStart"/>
      <w:r>
        <w:t>mofetil</w:t>
      </w:r>
      <w:proofErr w:type="spellEnd"/>
      <w:r>
        <w:t xml:space="preserve"> ou ácido </w:t>
      </w:r>
      <w:proofErr w:type="spellStart"/>
      <w:r>
        <w:t>micofenólico</w:t>
      </w:r>
      <w:proofErr w:type="spellEnd"/>
      <w:r>
        <w:t>, Metotrexato</w:t>
      </w:r>
      <w:r w:rsidR="00A164A9">
        <w:t>)</w:t>
      </w:r>
      <w:r>
        <w:t>.</w:t>
      </w:r>
    </w:p>
    <w:p w14:paraId="0D142F6F" w14:textId="77777777" w:rsidR="00817793" w:rsidRDefault="00817793">
      <w:pPr>
        <w:rPr>
          <w:smallCaps/>
          <w:highlight w:val="cyan"/>
        </w:rPr>
      </w:pPr>
    </w:p>
    <w:tbl>
      <w:tblPr>
        <w:tblStyle w:val="af6"/>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E979512" w14:textId="77777777">
        <w:trPr>
          <w:trHeight w:val="416"/>
        </w:trPr>
        <w:tc>
          <w:tcPr>
            <w:tcW w:w="9072" w:type="dxa"/>
            <w:shd w:val="clear" w:color="auto" w:fill="D9E2F3"/>
            <w:vAlign w:val="center"/>
          </w:tcPr>
          <w:p w14:paraId="2A935376" w14:textId="77777777" w:rsidR="00817793" w:rsidRDefault="002719FC">
            <w:pPr>
              <w:spacing w:before="120" w:after="120" w:line="240" w:lineRule="auto"/>
              <w:jc w:val="center"/>
              <w:rPr>
                <w:b/>
              </w:rPr>
            </w:pPr>
            <w:r>
              <w:rPr>
                <w:b/>
              </w:rPr>
              <w:t>Comentários gerais sobre o quadro de resultados, por desfecho, dos estudos incluídos</w:t>
            </w:r>
          </w:p>
        </w:tc>
      </w:tr>
      <w:tr w:rsidR="00817793" w14:paraId="3E9518E9" w14:textId="77777777">
        <w:trPr>
          <w:trHeight w:val="750"/>
        </w:trPr>
        <w:tc>
          <w:tcPr>
            <w:tcW w:w="9072" w:type="dxa"/>
            <w:vAlign w:val="center"/>
          </w:tcPr>
          <w:p w14:paraId="721323DD" w14:textId="786CF61E" w:rsidR="00817793" w:rsidRDefault="002719FC">
            <w:pPr>
              <w:spacing w:before="120" w:after="120" w:line="240" w:lineRule="auto"/>
            </w:pPr>
            <w:r>
              <w:t xml:space="preserve">O proponente não apresentou quadro com o resumo dos resultados por desfecho dos estudos incluídos, </w:t>
            </w:r>
            <w:r w:rsidR="00D531D7">
              <w:t xml:space="preserve">que </w:t>
            </w:r>
            <w:r>
              <w:t>foram apresentados de forma descritiva ao longo do parecer técnico científico (página 76 a 91) do documento 2024200246_PTC-Revisão Sistemática.</w:t>
            </w:r>
          </w:p>
          <w:p w14:paraId="11444F14" w14:textId="745426A9" w:rsidR="00817793" w:rsidRDefault="002719FC">
            <w:pPr>
              <w:spacing w:before="120" w:after="120" w:line="240" w:lineRule="auto"/>
            </w:pPr>
            <w:r>
              <w:t>Os pareceristas descreveram</w:t>
            </w:r>
            <w:r w:rsidR="00D531D7">
              <w:t>, a seguir,</w:t>
            </w:r>
            <w:r>
              <w:t xml:space="preserve"> de forma mais detalhada</w:t>
            </w:r>
            <w:r w:rsidR="00D531D7">
              <w:t xml:space="preserve">, </w:t>
            </w:r>
            <w:r>
              <w:t>os resultados dos estudos incluídos, categorizando os desfechos em primários e secundários</w:t>
            </w:r>
            <w:r w:rsidR="00D531D7">
              <w:t>,</w:t>
            </w:r>
            <w:r>
              <w:t xml:space="preserve"> conforme apresentado</w:t>
            </w:r>
            <w:r w:rsidR="00A164A9">
              <w:t>s</w:t>
            </w:r>
            <w:r>
              <w:t xml:space="preserve"> na PICOS.</w:t>
            </w:r>
          </w:p>
          <w:p w14:paraId="120C4E94" w14:textId="77777777" w:rsidR="00817793" w:rsidRDefault="00817793">
            <w:pPr>
              <w:spacing w:before="120" w:after="120" w:line="240" w:lineRule="auto"/>
            </w:pPr>
          </w:p>
          <w:p w14:paraId="35137690" w14:textId="77777777" w:rsidR="00817793" w:rsidRDefault="002719FC">
            <w:pPr>
              <w:spacing w:before="120" w:after="120" w:line="240" w:lineRule="auto"/>
              <w:rPr>
                <w:b/>
              </w:rPr>
            </w:pPr>
            <w:proofErr w:type="spellStart"/>
            <w:r>
              <w:rPr>
                <w:b/>
              </w:rPr>
              <w:t>Furie</w:t>
            </w:r>
            <w:proofErr w:type="spellEnd"/>
            <w:r>
              <w:rPr>
                <w:b/>
              </w:rPr>
              <w:t xml:space="preserve"> et al. (2019) - TULIP-1</w:t>
            </w:r>
          </w:p>
          <w:p w14:paraId="3D68B800" w14:textId="77777777" w:rsidR="00817793" w:rsidRDefault="002719FC">
            <w:pPr>
              <w:spacing w:before="120" w:after="120" w:line="240" w:lineRule="auto"/>
              <w:rPr>
                <w:i/>
                <w:u w:val="single"/>
              </w:rPr>
            </w:pPr>
            <w:r>
              <w:rPr>
                <w:i/>
                <w:u w:val="single"/>
              </w:rPr>
              <w:t>Desfechos Primários:</w:t>
            </w:r>
          </w:p>
          <w:p w14:paraId="0300E0AA" w14:textId="77777777" w:rsidR="00817793" w:rsidRDefault="002719FC">
            <w:pPr>
              <w:numPr>
                <w:ilvl w:val="0"/>
                <w:numId w:val="10"/>
              </w:numPr>
              <w:spacing w:before="120" w:after="0" w:line="240" w:lineRule="auto"/>
            </w:pPr>
            <w:r>
              <w:t xml:space="preserve">Índice SLE </w:t>
            </w:r>
            <w:r w:rsidRPr="00D531D7">
              <w:rPr>
                <w:i/>
                <w:iCs/>
              </w:rPr>
              <w:t>Responder Index-4</w:t>
            </w:r>
            <w:r>
              <w:t xml:space="preserve"> (SRI-4): Não houve diferença significativa no SRI-4 entre </w:t>
            </w:r>
            <w:proofErr w:type="spellStart"/>
            <w:r>
              <w:t>anifrolumabe</w:t>
            </w:r>
            <w:proofErr w:type="spellEnd"/>
            <w:r>
              <w:t xml:space="preserve"> 300 mg (36%) e placebo + terapia </w:t>
            </w:r>
            <w:proofErr w:type="gramStart"/>
            <w:r>
              <w:t>padrão(</w:t>
            </w:r>
            <w:proofErr w:type="gramEnd"/>
            <w:r>
              <w:t xml:space="preserve">*) (40%) na semana 52 (p=0,41). </w:t>
            </w:r>
          </w:p>
          <w:p w14:paraId="7D38BF96" w14:textId="77777777" w:rsidR="00817793" w:rsidRDefault="002719FC">
            <w:pPr>
              <w:numPr>
                <w:ilvl w:val="0"/>
                <w:numId w:val="10"/>
              </w:numPr>
              <w:spacing w:before="0" w:after="0" w:line="240" w:lineRule="auto"/>
            </w:pPr>
            <w:r>
              <w:t>Índice BICLA: A resposta BICLA exigia a redução da atividade da doença de base, que era moderada ou grave, sem piora em outros sistemas orgânicos, sem aumento na pontuação do índice SLEDAI-2K (</w:t>
            </w:r>
            <w:proofErr w:type="spellStart"/>
            <w:r w:rsidRPr="00D531D7">
              <w:rPr>
                <w:i/>
                <w:iCs/>
              </w:rPr>
              <w:t>Systemic</w:t>
            </w:r>
            <w:proofErr w:type="spellEnd"/>
            <w:r w:rsidRPr="00D531D7">
              <w:rPr>
                <w:i/>
                <w:iCs/>
              </w:rPr>
              <w:t xml:space="preserve"> </w:t>
            </w:r>
            <w:proofErr w:type="spellStart"/>
            <w:r w:rsidRPr="00D531D7">
              <w:rPr>
                <w:i/>
                <w:iCs/>
              </w:rPr>
              <w:t>Lupus</w:t>
            </w:r>
            <w:proofErr w:type="spellEnd"/>
            <w:r w:rsidRPr="00D531D7">
              <w:rPr>
                <w:i/>
                <w:iCs/>
              </w:rPr>
              <w:t xml:space="preserve"> </w:t>
            </w:r>
            <w:proofErr w:type="spellStart"/>
            <w:r w:rsidRPr="00D531D7">
              <w:rPr>
                <w:i/>
                <w:iCs/>
              </w:rPr>
              <w:t>Erythematosus</w:t>
            </w:r>
            <w:proofErr w:type="spellEnd"/>
            <w:r w:rsidRPr="00D531D7">
              <w:rPr>
                <w:i/>
                <w:iCs/>
              </w:rPr>
              <w:t xml:space="preserve"> </w:t>
            </w:r>
            <w:proofErr w:type="spellStart"/>
            <w:r w:rsidRPr="00D531D7">
              <w:rPr>
                <w:i/>
                <w:iCs/>
              </w:rPr>
              <w:t>Disease</w:t>
            </w:r>
            <w:proofErr w:type="spellEnd"/>
            <w:r w:rsidRPr="00D531D7">
              <w:rPr>
                <w:i/>
                <w:iCs/>
              </w:rPr>
              <w:t xml:space="preserve"> </w:t>
            </w:r>
            <w:proofErr w:type="spellStart"/>
            <w:r w:rsidRPr="00D531D7">
              <w:rPr>
                <w:i/>
                <w:iCs/>
              </w:rPr>
              <w:t>Activity</w:t>
            </w:r>
            <w:proofErr w:type="spellEnd"/>
            <w:r w:rsidRPr="00D531D7">
              <w:rPr>
                <w:i/>
                <w:iCs/>
              </w:rPr>
              <w:t xml:space="preserve"> Index</w:t>
            </w:r>
            <w:r>
              <w:t xml:space="preserve">) e sem aumento de ≥0,3 pontos na Avaliação Global do Médico (PGA). Além disso, não deveria haver interrupção da intervenção do estudo ou uso de medicamentos restritos pelo protocolo. O índice BICLA foi alcançado por 37% dos pacientes no grupo </w:t>
            </w:r>
            <w:proofErr w:type="spellStart"/>
            <w:r>
              <w:t>anifrolumabe</w:t>
            </w:r>
            <w:proofErr w:type="spellEnd"/>
            <w:r>
              <w:t xml:space="preserve"> 300 mg, em comparação a 27% no grupo placebo + terapia </w:t>
            </w:r>
            <w:proofErr w:type="gramStart"/>
            <w:r>
              <w:t>padrão(</w:t>
            </w:r>
            <w:proofErr w:type="gramEnd"/>
            <w:r>
              <w:t xml:space="preserve">*). Houve uma diferença estatisticamente significativa na resposta do BICLA entre o grupo tratado com </w:t>
            </w:r>
            <w:proofErr w:type="spellStart"/>
            <w:r>
              <w:t>anifrolumabe</w:t>
            </w:r>
            <w:proofErr w:type="spellEnd"/>
            <w:r>
              <w:t xml:space="preserve"> 300 mg e o grupo placebo + terapia </w:t>
            </w:r>
            <w:proofErr w:type="gramStart"/>
            <w:r>
              <w:t>padrão(</w:t>
            </w:r>
            <w:proofErr w:type="gramEnd"/>
            <w:r>
              <w:t xml:space="preserve">*), favorecendo o </w:t>
            </w:r>
            <w:proofErr w:type="spellStart"/>
            <w:r>
              <w:t>anifrolumabe</w:t>
            </w:r>
            <w:proofErr w:type="spellEnd"/>
            <w:r>
              <w:t xml:space="preserve">. Isso sugere que o medicamento teve um efeito positivo na melhora clínica da atividade do LES em comparação ao placebo + terapia </w:t>
            </w:r>
            <w:proofErr w:type="gramStart"/>
            <w:r>
              <w:t>padrão(</w:t>
            </w:r>
            <w:proofErr w:type="gramEnd"/>
            <w:r>
              <w:t>*), de acordo com os critérios do BICLA.</w:t>
            </w:r>
          </w:p>
          <w:p w14:paraId="42AFC42D" w14:textId="60B7514A" w:rsidR="00817793" w:rsidRDefault="002719FC" w:rsidP="00826382">
            <w:pPr>
              <w:numPr>
                <w:ilvl w:val="0"/>
                <w:numId w:val="10"/>
              </w:numPr>
              <w:spacing w:before="0" w:after="120" w:line="240" w:lineRule="auto"/>
            </w:pPr>
            <w:r>
              <w:t xml:space="preserve">Eventos adversos graves: O perfil de segurança do </w:t>
            </w:r>
            <w:proofErr w:type="spellStart"/>
            <w:r>
              <w:t>anifrolumabe</w:t>
            </w:r>
            <w:proofErr w:type="spellEnd"/>
            <w:r>
              <w:t xml:space="preserve"> foi considerado aceitável, com eventos adversos graves semelhantes entre os grupos (14% para </w:t>
            </w:r>
            <w:proofErr w:type="spellStart"/>
            <w:r>
              <w:t>anifrolumabe</w:t>
            </w:r>
            <w:proofErr w:type="spellEnd"/>
            <w:r>
              <w:t xml:space="preserve"> 300 mg versus 16% para placebo + terapia </w:t>
            </w:r>
            <w:proofErr w:type="gramStart"/>
            <w:r>
              <w:t>padrão(</w:t>
            </w:r>
            <w:proofErr w:type="gramEnd"/>
            <w:r>
              <w:t>*)).</w:t>
            </w:r>
          </w:p>
          <w:p w14:paraId="597FA7D4" w14:textId="77777777" w:rsidR="00817793" w:rsidRDefault="002719FC">
            <w:pPr>
              <w:spacing w:before="120" w:after="120" w:line="240" w:lineRule="auto"/>
              <w:rPr>
                <w:i/>
                <w:u w:val="single"/>
              </w:rPr>
            </w:pPr>
            <w:r>
              <w:rPr>
                <w:i/>
                <w:u w:val="single"/>
              </w:rPr>
              <w:t>Desfechos Secundários:</w:t>
            </w:r>
          </w:p>
          <w:p w14:paraId="6813A8F7" w14:textId="77777777" w:rsidR="00817793" w:rsidRDefault="002719FC">
            <w:pPr>
              <w:numPr>
                <w:ilvl w:val="0"/>
                <w:numId w:val="12"/>
              </w:numPr>
              <w:spacing w:before="120" w:after="0" w:line="240" w:lineRule="auto"/>
            </w:pPr>
            <w:r>
              <w:t xml:space="preserve">Redução de Corticosteroides: 41% dos pacientes no grupo </w:t>
            </w:r>
            <w:proofErr w:type="spellStart"/>
            <w:r>
              <w:t>anifrolumabe</w:t>
            </w:r>
            <w:proofErr w:type="spellEnd"/>
            <w:r>
              <w:t xml:space="preserve"> 300 mg alcançaram redução sustentada da dose de corticosteroides (≤7,5 mg/dia) em comparação a 32% no grupo placebo + terapia </w:t>
            </w:r>
            <w:proofErr w:type="gramStart"/>
            <w:r>
              <w:t>padrão(</w:t>
            </w:r>
            <w:proofErr w:type="gramEnd"/>
            <w:r>
              <w:t xml:space="preserve">*), sem diferença estatística. </w:t>
            </w:r>
          </w:p>
          <w:p w14:paraId="027E5688" w14:textId="77777777" w:rsidR="00817793" w:rsidRDefault="002719FC">
            <w:pPr>
              <w:numPr>
                <w:ilvl w:val="0"/>
                <w:numId w:val="12"/>
              </w:numPr>
              <w:spacing w:before="0" w:after="120" w:line="240" w:lineRule="auto"/>
            </w:pPr>
            <w:r>
              <w:t xml:space="preserve">Melhora Cutânea (CLASI): 42% dos pacientes tratados com </w:t>
            </w:r>
            <w:proofErr w:type="spellStart"/>
            <w:r>
              <w:t>anifrolumabe</w:t>
            </w:r>
            <w:proofErr w:type="spellEnd"/>
            <w:r>
              <w:t xml:space="preserve"> apresentaram redução ≥50% no escore CLASI, contra 25% no grupo placebo + terapia </w:t>
            </w:r>
            <w:proofErr w:type="gramStart"/>
            <w:r>
              <w:t>padrão(</w:t>
            </w:r>
            <w:proofErr w:type="gramEnd"/>
            <w:r>
              <w:t>*), sem diferença estatística.</w:t>
            </w:r>
          </w:p>
          <w:p w14:paraId="75FBE423" w14:textId="77777777" w:rsidR="00817793" w:rsidRDefault="00817793">
            <w:pPr>
              <w:spacing w:before="120" w:after="120" w:line="240" w:lineRule="auto"/>
            </w:pPr>
          </w:p>
          <w:p w14:paraId="0AAE51E9" w14:textId="77777777" w:rsidR="00817793" w:rsidRDefault="002719FC">
            <w:pPr>
              <w:spacing w:before="120" w:after="120" w:line="240" w:lineRule="auto"/>
              <w:rPr>
                <w:b/>
              </w:rPr>
            </w:pPr>
            <w:r>
              <w:rPr>
                <w:b/>
              </w:rPr>
              <w:t>Morand et al. (2020) - TULIP-2</w:t>
            </w:r>
          </w:p>
          <w:p w14:paraId="15BD9012" w14:textId="77777777" w:rsidR="00817793" w:rsidRDefault="002719FC">
            <w:pPr>
              <w:spacing w:before="120" w:after="120" w:line="240" w:lineRule="auto"/>
              <w:rPr>
                <w:i/>
                <w:u w:val="single"/>
              </w:rPr>
            </w:pPr>
            <w:r>
              <w:rPr>
                <w:i/>
                <w:u w:val="single"/>
              </w:rPr>
              <w:t>Desfechos Primários:</w:t>
            </w:r>
          </w:p>
          <w:p w14:paraId="2D495E6E" w14:textId="77777777" w:rsidR="00817793" w:rsidRDefault="002719FC">
            <w:pPr>
              <w:numPr>
                <w:ilvl w:val="0"/>
                <w:numId w:val="10"/>
              </w:numPr>
              <w:spacing w:before="120" w:after="0" w:line="240" w:lineRule="auto"/>
            </w:pPr>
            <w:r>
              <w:t xml:space="preserve">Índice BICLA: A resposta BICLA exigia a redução da atividade da doença de base, que era moderada ou grave, sem piora em outros sistemas orgânicos, sem aumento na pontuação </w:t>
            </w:r>
            <w:r>
              <w:lastRenderedPageBreak/>
              <w:t>do índice SLEDAI-2K (</w:t>
            </w:r>
            <w:proofErr w:type="spellStart"/>
            <w:r w:rsidRPr="00D531D7">
              <w:rPr>
                <w:i/>
                <w:iCs/>
              </w:rPr>
              <w:t>Systemic</w:t>
            </w:r>
            <w:proofErr w:type="spellEnd"/>
            <w:r w:rsidRPr="00D531D7">
              <w:rPr>
                <w:i/>
                <w:iCs/>
              </w:rPr>
              <w:t xml:space="preserve"> </w:t>
            </w:r>
            <w:proofErr w:type="spellStart"/>
            <w:r w:rsidRPr="00D531D7">
              <w:rPr>
                <w:i/>
                <w:iCs/>
              </w:rPr>
              <w:t>Lupus</w:t>
            </w:r>
            <w:proofErr w:type="spellEnd"/>
            <w:r w:rsidRPr="00D531D7">
              <w:rPr>
                <w:i/>
                <w:iCs/>
              </w:rPr>
              <w:t xml:space="preserve"> </w:t>
            </w:r>
            <w:proofErr w:type="spellStart"/>
            <w:r w:rsidRPr="00D531D7">
              <w:rPr>
                <w:i/>
                <w:iCs/>
              </w:rPr>
              <w:t>Erythematosus</w:t>
            </w:r>
            <w:proofErr w:type="spellEnd"/>
            <w:r w:rsidRPr="00D531D7">
              <w:rPr>
                <w:i/>
                <w:iCs/>
              </w:rPr>
              <w:t xml:space="preserve"> </w:t>
            </w:r>
            <w:proofErr w:type="spellStart"/>
            <w:r w:rsidRPr="00D531D7">
              <w:rPr>
                <w:i/>
                <w:iCs/>
              </w:rPr>
              <w:t>Disease</w:t>
            </w:r>
            <w:proofErr w:type="spellEnd"/>
            <w:r w:rsidRPr="00D531D7">
              <w:rPr>
                <w:i/>
                <w:iCs/>
              </w:rPr>
              <w:t xml:space="preserve"> </w:t>
            </w:r>
            <w:proofErr w:type="spellStart"/>
            <w:r w:rsidRPr="00D531D7">
              <w:rPr>
                <w:i/>
                <w:iCs/>
              </w:rPr>
              <w:t>Activity</w:t>
            </w:r>
            <w:proofErr w:type="spellEnd"/>
            <w:r w:rsidRPr="00D531D7">
              <w:rPr>
                <w:i/>
                <w:iCs/>
              </w:rPr>
              <w:t xml:space="preserve"> Index</w:t>
            </w:r>
            <w:r>
              <w:t xml:space="preserve">) e sem aumento de ≥0,3 pontos na Avaliação Global do Médico (PGA). Além disso, não deveria haver interrupção da intervenção do estudo ou uso de medicamentos restritos pelo protocolo. Os resultados mostraram que 47,8% dos pacientes no grupo </w:t>
            </w:r>
            <w:proofErr w:type="spellStart"/>
            <w:r>
              <w:t>anifrolumabe</w:t>
            </w:r>
            <w:proofErr w:type="spellEnd"/>
            <w:r>
              <w:t xml:space="preserve"> alcançaram a resposta BICLA, enquanto 31,5% dos pacientes no grupo placebo + terapia </w:t>
            </w:r>
            <w:proofErr w:type="gramStart"/>
            <w:r>
              <w:t>padrão(</w:t>
            </w:r>
            <w:proofErr w:type="gramEnd"/>
            <w:r>
              <w:t>*) também a alcançaram, resultando em uma diferença ajustada de 16,3 pontos percentuais (IC95%, 6,3 a 26,3; P = 0,001), com significância estatística.</w:t>
            </w:r>
          </w:p>
          <w:p w14:paraId="1631DC92" w14:textId="77777777" w:rsidR="00817793" w:rsidRDefault="002719FC">
            <w:pPr>
              <w:numPr>
                <w:ilvl w:val="0"/>
                <w:numId w:val="10"/>
              </w:numPr>
              <w:spacing w:before="0" w:after="120" w:line="240" w:lineRule="auto"/>
            </w:pPr>
            <w:r w:rsidRPr="008E39C5">
              <w:t xml:space="preserve">Eventos adversos graves: 8,3% dos pacientes no grupo </w:t>
            </w:r>
            <w:proofErr w:type="spellStart"/>
            <w:r w:rsidRPr="008E39C5">
              <w:t>anifrolumabe</w:t>
            </w:r>
            <w:proofErr w:type="spellEnd"/>
            <w:r w:rsidRPr="008E39C5">
              <w:t xml:space="preserve"> relataram eventos adversos graves, em comparação com 17,0% no grupo placebo + terapia </w:t>
            </w:r>
            <w:proofErr w:type="gramStart"/>
            <w:r w:rsidRPr="008E39C5">
              <w:t>padrão(</w:t>
            </w:r>
            <w:proofErr w:type="gramEnd"/>
            <w:r w:rsidRPr="008E39C5">
              <w:t>*). Menos</w:t>
            </w:r>
            <w:r>
              <w:t xml:space="preserve"> pacientes no grupo </w:t>
            </w:r>
            <w:proofErr w:type="spellStart"/>
            <w:r>
              <w:t>anifrolumabe</w:t>
            </w:r>
            <w:proofErr w:type="spellEnd"/>
            <w:r>
              <w:t xml:space="preserve"> interromperam o tratamento devido a eventos adversos em comparação com o grupo placebo + terapia </w:t>
            </w:r>
            <w:proofErr w:type="gramStart"/>
            <w:r>
              <w:t>padrão(</w:t>
            </w:r>
            <w:proofErr w:type="gramEnd"/>
            <w:r>
              <w:t>*) (2,8% vs. 7,1%).</w:t>
            </w:r>
          </w:p>
          <w:p w14:paraId="36673DC0" w14:textId="77777777" w:rsidR="00817793" w:rsidRDefault="002719FC">
            <w:pPr>
              <w:spacing w:before="120" w:after="120" w:line="240" w:lineRule="auto"/>
              <w:rPr>
                <w:i/>
                <w:u w:val="single"/>
              </w:rPr>
            </w:pPr>
            <w:r>
              <w:rPr>
                <w:i/>
                <w:u w:val="single"/>
              </w:rPr>
              <w:t>Desfechos Secundários:</w:t>
            </w:r>
          </w:p>
          <w:p w14:paraId="799365B1" w14:textId="77777777" w:rsidR="00817793" w:rsidRDefault="002719FC">
            <w:pPr>
              <w:numPr>
                <w:ilvl w:val="0"/>
                <w:numId w:val="12"/>
              </w:numPr>
              <w:spacing w:before="120" w:after="0" w:line="240" w:lineRule="auto"/>
            </w:pPr>
            <w:r>
              <w:t xml:space="preserve">Redução de Corticosteroides: A redução sustentada da dose de glicocorticoides para ≤7,5 mg/dia entre as semanas 40 e 52 (em pacientes que usavam ≥10 mg/dia no início) foi observada em 51,5% do grupo </w:t>
            </w:r>
            <w:proofErr w:type="spellStart"/>
            <w:r>
              <w:t>anifrolumabe</w:t>
            </w:r>
            <w:proofErr w:type="spellEnd"/>
            <w:r>
              <w:t xml:space="preserve">, em comparação a 30,2% do grupo placebo + terapia </w:t>
            </w:r>
            <w:proofErr w:type="gramStart"/>
            <w:r>
              <w:t>padrão(</w:t>
            </w:r>
            <w:proofErr w:type="gramEnd"/>
            <w:r>
              <w:t>*), com uma diferença ajustada de 21,2 pontos percentuais (IC 95%, 6,8 a 35,7; P = 0,01), com significância estatística.</w:t>
            </w:r>
          </w:p>
          <w:p w14:paraId="0F422EE2" w14:textId="3701935E" w:rsidR="00817793" w:rsidRDefault="002719FC">
            <w:pPr>
              <w:numPr>
                <w:ilvl w:val="0"/>
                <w:numId w:val="12"/>
              </w:numPr>
              <w:spacing w:before="0" w:after="120" w:line="240" w:lineRule="auto"/>
            </w:pPr>
            <w:r>
              <w:t>Melhora Cutânea (CLASI)</w:t>
            </w:r>
            <w:r w:rsidR="00314A1D">
              <w:t xml:space="preserve"> </w:t>
            </w:r>
            <w:r>
              <w:t xml:space="preserve">- semana 12: Houve uma redução de ≥50% na gravidade da doença cutânea (CLASI ≥10 no início) na semana 12 de 49,0% no grupo </w:t>
            </w:r>
            <w:proofErr w:type="spellStart"/>
            <w:r>
              <w:t>anifrolumab</w:t>
            </w:r>
            <w:r w:rsidR="00314A1D">
              <w:t>e</w:t>
            </w:r>
            <w:proofErr w:type="spellEnd"/>
            <w:r>
              <w:t xml:space="preserve"> </w:t>
            </w:r>
            <w:r w:rsidRPr="00314A1D">
              <w:rPr>
                <w:i/>
                <w:iCs/>
              </w:rPr>
              <w:t>versus</w:t>
            </w:r>
            <w:r>
              <w:t xml:space="preserve"> 25,0% no grupo placebo + terapia </w:t>
            </w:r>
            <w:proofErr w:type="gramStart"/>
            <w:r>
              <w:t>padrão(</w:t>
            </w:r>
            <w:proofErr w:type="gramEnd"/>
            <w:r>
              <w:t>*), resultando em uma diferença ajustada de 24,0 pontos percentuais (IC 95%, 4,3 a 43,6; P = 0,04), com significância estatística.</w:t>
            </w:r>
          </w:p>
          <w:p w14:paraId="2D3F0BEC" w14:textId="77777777" w:rsidR="00817793" w:rsidRDefault="00817793">
            <w:pPr>
              <w:spacing w:before="120" w:after="120" w:line="240" w:lineRule="auto"/>
              <w:ind w:left="720"/>
            </w:pPr>
          </w:p>
          <w:p w14:paraId="33961A32" w14:textId="77777777" w:rsidR="00817793" w:rsidRDefault="002719FC">
            <w:pPr>
              <w:spacing w:before="120" w:after="120" w:line="240" w:lineRule="auto"/>
              <w:rPr>
                <w:b/>
              </w:rPr>
            </w:pPr>
            <w:proofErr w:type="spellStart"/>
            <w:r>
              <w:rPr>
                <w:b/>
              </w:rPr>
              <w:t>Kalunian</w:t>
            </w:r>
            <w:proofErr w:type="spellEnd"/>
            <w:r>
              <w:rPr>
                <w:b/>
              </w:rPr>
              <w:t xml:space="preserve"> et al. (2023) - TULIP-LTE</w:t>
            </w:r>
          </w:p>
          <w:p w14:paraId="14B839AF" w14:textId="77777777" w:rsidR="00817793" w:rsidRDefault="002719FC">
            <w:pPr>
              <w:spacing w:before="120" w:after="120" w:line="240" w:lineRule="auto"/>
              <w:rPr>
                <w:i/>
                <w:u w:val="single"/>
              </w:rPr>
            </w:pPr>
            <w:r>
              <w:rPr>
                <w:i/>
                <w:u w:val="single"/>
              </w:rPr>
              <w:t>Desfechos Primários:</w:t>
            </w:r>
          </w:p>
          <w:p w14:paraId="75CF4315" w14:textId="0CCF3B9D" w:rsidR="00817793" w:rsidRDefault="002719FC" w:rsidP="00314A1D">
            <w:pPr>
              <w:numPr>
                <w:ilvl w:val="0"/>
                <w:numId w:val="10"/>
              </w:numPr>
              <w:spacing w:before="120" w:after="120" w:line="240" w:lineRule="auto"/>
            </w:pPr>
            <w:r>
              <w:t xml:space="preserve">Eventos adversos graves: 22,6% dos pacientes no grupo </w:t>
            </w:r>
            <w:proofErr w:type="spellStart"/>
            <w:r>
              <w:t>anifrolumabe</w:t>
            </w:r>
            <w:proofErr w:type="spellEnd"/>
            <w:r>
              <w:t xml:space="preserve"> relataram eventos adversos graves, em comparação com 25% no grupo placebo + terapia </w:t>
            </w:r>
            <w:proofErr w:type="gramStart"/>
            <w:r>
              <w:t>padrão(</w:t>
            </w:r>
            <w:proofErr w:type="gramEnd"/>
            <w:r>
              <w:t>*).</w:t>
            </w:r>
          </w:p>
          <w:p w14:paraId="5E275994" w14:textId="77777777" w:rsidR="00817793" w:rsidRDefault="002719FC">
            <w:pPr>
              <w:spacing w:before="120" w:after="120" w:line="240" w:lineRule="auto"/>
              <w:rPr>
                <w:i/>
                <w:u w:val="single"/>
              </w:rPr>
            </w:pPr>
            <w:r>
              <w:rPr>
                <w:i/>
                <w:u w:val="single"/>
              </w:rPr>
              <w:t>Desfechos Secundários:</w:t>
            </w:r>
          </w:p>
          <w:p w14:paraId="76D66F9C" w14:textId="77777777" w:rsidR="00817793" w:rsidRDefault="002719FC">
            <w:pPr>
              <w:numPr>
                <w:ilvl w:val="0"/>
                <w:numId w:val="12"/>
              </w:numPr>
              <w:spacing w:before="120" w:after="0" w:line="240" w:lineRule="auto"/>
            </w:pPr>
            <w:r>
              <w:t xml:space="preserve">Redução de Corticosteroides: Apenas 9,9% dos pacientes no grupo </w:t>
            </w:r>
            <w:proofErr w:type="spellStart"/>
            <w:r>
              <w:t>anifrolumabe</w:t>
            </w:r>
            <w:proofErr w:type="spellEnd"/>
            <w:r>
              <w:t xml:space="preserve"> estavam usando doses &gt;7,5 mg/dia, comparado a 29,3% no grupo placebo + terapia </w:t>
            </w:r>
            <w:proofErr w:type="gramStart"/>
            <w:r>
              <w:t>padrão(</w:t>
            </w:r>
            <w:proofErr w:type="gramEnd"/>
            <w:r>
              <w:t xml:space="preserve">*). Ao final do estudo, 36,4% dos pacientes no grupo </w:t>
            </w:r>
            <w:proofErr w:type="spellStart"/>
            <w:r>
              <w:t>anifrolumabe</w:t>
            </w:r>
            <w:proofErr w:type="spellEnd"/>
            <w:r>
              <w:t xml:space="preserve"> estavam livres de glicocorticoides, comparado a 26,8% no grupo placebo + terapia </w:t>
            </w:r>
            <w:proofErr w:type="gramStart"/>
            <w:r>
              <w:t>padrão(</w:t>
            </w:r>
            <w:proofErr w:type="gramEnd"/>
            <w:r>
              <w:t>*).</w:t>
            </w:r>
          </w:p>
          <w:p w14:paraId="79B3CF77" w14:textId="6D1DD63F" w:rsidR="00817793" w:rsidRDefault="002719FC">
            <w:pPr>
              <w:numPr>
                <w:ilvl w:val="0"/>
                <w:numId w:val="12"/>
              </w:numPr>
              <w:spacing w:before="0" w:after="120" w:line="240" w:lineRule="auto"/>
            </w:pPr>
            <w:r>
              <w:t xml:space="preserve">SLEDAI-2K:No final do estudo, o escore médio de SLEDAI-2K foi menor no grupo do </w:t>
            </w:r>
            <w:proofErr w:type="spellStart"/>
            <w:r>
              <w:t>anifrolumabe</w:t>
            </w:r>
            <w:proofErr w:type="spellEnd"/>
            <w:r>
              <w:t xml:space="preserve"> (0,6) comparado ao placebo + terapia </w:t>
            </w:r>
            <w:proofErr w:type="gramStart"/>
            <w:r>
              <w:t>padrão(</w:t>
            </w:r>
            <w:proofErr w:type="gramEnd"/>
            <w:r>
              <w:t>*) (0,7).</w:t>
            </w:r>
            <w:r w:rsidR="00314A1D">
              <w:t xml:space="preserve"> </w:t>
            </w:r>
            <w:r>
              <w:t>Entretanto</w:t>
            </w:r>
            <w:r w:rsidR="00314A1D">
              <w:t>,</w:t>
            </w:r>
            <w:r>
              <w:t xml:space="preserve"> essa diferença não foi significativa, já que os scores finais no grupo </w:t>
            </w:r>
            <w:proofErr w:type="spellStart"/>
            <w:r>
              <w:t>anifrolumabe</w:t>
            </w:r>
            <w:proofErr w:type="spellEnd"/>
            <w:r>
              <w:t xml:space="preserve"> foi de 5,1 +/- 3,5 comparado ao placebo + terapia </w:t>
            </w:r>
            <w:proofErr w:type="gramStart"/>
            <w:r>
              <w:t>padrão(</w:t>
            </w:r>
            <w:proofErr w:type="gramEnd"/>
            <w:r>
              <w:t>*) que foi de 6,0 +/- 4,1.</w:t>
            </w:r>
          </w:p>
        </w:tc>
      </w:tr>
    </w:tbl>
    <w:p w14:paraId="58CAA469" w14:textId="6264FCB7" w:rsidR="00817793" w:rsidRDefault="002719FC">
      <w:pPr>
        <w:spacing w:before="120" w:after="120" w:line="240" w:lineRule="auto"/>
        <w:rPr>
          <w:smallCaps/>
        </w:rPr>
      </w:pPr>
      <w:r>
        <w:rPr>
          <w:smallCaps/>
        </w:rPr>
        <w:lastRenderedPageBreak/>
        <w:t>Legenda: (*) Os pacientes estavam em tratamento estável com pelo menos um dos seguintes medicamentos: Corticosteroides orais (como a prednisona) ou equivalente</w:t>
      </w:r>
      <w:r w:rsidR="00314A1D">
        <w:rPr>
          <w:smallCaps/>
        </w:rPr>
        <w:t>;</w:t>
      </w:r>
      <w:r>
        <w:rPr>
          <w:smallCaps/>
        </w:rPr>
        <w:t xml:space="preserve"> Antimaláricos (como a hidroxicloroquina)</w:t>
      </w:r>
      <w:r w:rsidR="00314A1D">
        <w:rPr>
          <w:smallCaps/>
        </w:rPr>
        <w:t>;</w:t>
      </w:r>
      <w:r>
        <w:rPr>
          <w:smallCaps/>
        </w:rPr>
        <w:t xml:space="preserve"> Imunossupressores </w:t>
      </w:r>
      <w:r w:rsidR="00314A1D">
        <w:rPr>
          <w:smallCaps/>
        </w:rPr>
        <w:t>(</w:t>
      </w:r>
      <w:r>
        <w:rPr>
          <w:smallCaps/>
        </w:rPr>
        <w:t xml:space="preserve">incluindo: </w:t>
      </w:r>
      <w:proofErr w:type="spellStart"/>
      <w:r>
        <w:rPr>
          <w:smallCaps/>
        </w:rPr>
        <w:t>Azatioprina</w:t>
      </w:r>
      <w:proofErr w:type="spellEnd"/>
      <w:r>
        <w:rPr>
          <w:smallCaps/>
        </w:rPr>
        <w:t xml:space="preserve">, </w:t>
      </w:r>
      <w:proofErr w:type="spellStart"/>
      <w:r>
        <w:rPr>
          <w:smallCaps/>
        </w:rPr>
        <w:t>Mizoribina</w:t>
      </w:r>
      <w:proofErr w:type="spellEnd"/>
      <w:r>
        <w:rPr>
          <w:smallCaps/>
        </w:rPr>
        <w:t xml:space="preserve">, </w:t>
      </w:r>
      <w:proofErr w:type="spellStart"/>
      <w:r>
        <w:rPr>
          <w:smallCaps/>
        </w:rPr>
        <w:t>Micofenolato</w:t>
      </w:r>
      <w:proofErr w:type="spellEnd"/>
      <w:r>
        <w:rPr>
          <w:smallCaps/>
        </w:rPr>
        <w:t xml:space="preserve"> </w:t>
      </w:r>
      <w:proofErr w:type="spellStart"/>
      <w:r>
        <w:rPr>
          <w:smallCaps/>
        </w:rPr>
        <w:t>mofetil</w:t>
      </w:r>
      <w:proofErr w:type="spellEnd"/>
      <w:r>
        <w:rPr>
          <w:smallCaps/>
        </w:rPr>
        <w:t xml:space="preserve"> ou ácido </w:t>
      </w:r>
      <w:proofErr w:type="spellStart"/>
      <w:r>
        <w:rPr>
          <w:smallCaps/>
        </w:rPr>
        <w:t>micofenólico</w:t>
      </w:r>
      <w:proofErr w:type="spellEnd"/>
      <w:r>
        <w:rPr>
          <w:smallCaps/>
        </w:rPr>
        <w:t>, Metotrexato</w:t>
      </w:r>
      <w:r w:rsidR="00314A1D">
        <w:rPr>
          <w:smallCaps/>
        </w:rPr>
        <w:t>)</w:t>
      </w:r>
      <w:r>
        <w:rPr>
          <w:smallCaps/>
        </w:rPr>
        <w:t>.</w:t>
      </w:r>
    </w:p>
    <w:p w14:paraId="365032B7" w14:textId="77777777" w:rsidR="00826382" w:rsidRDefault="00826382">
      <w:pPr>
        <w:spacing w:before="120" w:after="120" w:line="240" w:lineRule="auto"/>
        <w:rPr>
          <w:b/>
          <w:sz w:val="24"/>
          <w:szCs w:val="24"/>
        </w:rPr>
      </w:pPr>
    </w:p>
    <w:p w14:paraId="560C723E" w14:textId="77777777" w:rsidR="00817793" w:rsidRDefault="002719FC">
      <w:pPr>
        <w:spacing w:line="240" w:lineRule="auto"/>
        <w:rPr>
          <w:b/>
          <w:sz w:val="24"/>
          <w:szCs w:val="24"/>
        </w:rPr>
      </w:pPr>
      <w:r>
        <w:rPr>
          <w:b/>
          <w:sz w:val="24"/>
          <w:szCs w:val="24"/>
        </w:rPr>
        <w:lastRenderedPageBreak/>
        <w:t>5.5.3 Risco de viés ou qualidade metodológica dos estudos incluídos</w:t>
      </w:r>
    </w:p>
    <w:p w14:paraId="50A4EE60" w14:textId="77777777" w:rsidR="00817793" w:rsidRDefault="002719FC">
      <w:pPr>
        <w:pStyle w:val="Ttulo4"/>
      </w:pPr>
      <w:bookmarkStart w:id="34" w:name="_u5f5a7du28kt" w:colFirst="0" w:colLast="0"/>
      <w:bookmarkEnd w:id="34"/>
      <w:r>
        <w:rPr>
          <w:b/>
        </w:rPr>
        <w:t xml:space="preserve">Quadro 14. </w:t>
      </w:r>
      <w:r>
        <w:t>Características do processo de avaliação do risco de viés ou qualidade metodológica dos estudos incluídos.</w:t>
      </w:r>
    </w:p>
    <w:tbl>
      <w:tblPr>
        <w:tblStyle w:val="af7"/>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1"/>
        <w:gridCol w:w="2268"/>
        <w:gridCol w:w="2663"/>
        <w:gridCol w:w="2723"/>
      </w:tblGrid>
      <w:tr w:rsidR="00817793" w14:paraId="0C18E0DD" w14:textId="77777777">
        <w:trPr>
          <w:trHeight w:val="454"/>
          <w:jc w:val="center"/>
        </w:trPr>
        <w:tc>
          <w:tcPr>
            <w:tcW w:w="1481" w:type="dxa"/>
            <w:shd w:val="clear" w:color="auto" w:fill="D9E2F3"/>
          </w:tcPr>
          <w:p w14:paraId="3DEB55F1" w14:textId="77777777" w:rsidR="00817793" w:rsidRDefault="002719FC">
            <w:pPr>
              <w:spacing w:before="120" w:after="120" w:line="240" w:lineRule="auto"/>
              <w:jc w:val="center"/>
              <w:rPr>
                <w:b/>
                <w:sz w:val="20"/>
                <w:szCs w:val="20"/>
              </w:rPr>
            </w:pPr>
            <w:r>
              <w:rPr>
                <w:b/>
                <w:sz w:val="20"/>
                <w:szCs w:val="20"/>
              </w:rPr>
              <w:t>Critérios</w:t>
            </w:r>
          </w:p>
        </w:tc>
        <w:tc>
          <w:tcPr>
            <w:tcW w:w="2268" w:type="dxa"/>
            <w:shd w:val="clear" w:color="auto" w:fill="D9E2F3"/>
          </w:tcPr>
          <w:p w14:paraId="0E06B4BA" w14:textId="77777777" w:rsidR="00817793" w:rsidRDefault="002719FC">
            <w:pPr>
              <w:spacing w:before="120" w:after="120" w:line="240" w:lineRule="auto"/>
              <w:jc w:val="center"/>
              <w:rPr>
                <w:b/>
                <w:sz w:val="20"/>
                <w:szCs w:val="20"/>
              </w:rPr>
            </w:pPr>
            <w:r>
              <w:rPr>
                <w:b/>
                <w:sz w:val="20"/>
                <w:szCs w:val="20"/>
              </w:rPr>
              <w:t>Proponente</w:t>
            </w:r>
          </w:p>
        </w:tc>
        <w:tc>
          <w:tcPr>
            <w:tcW w:w="2663" w:type="dxa"/>
            <w:shd w:val="clear" w:color="auto" w:fill="D9E2F3"/>
          </w:tcPr>
          <w:p w14:paraId="5937EAE8" w14:textId="77777777" w:rsidR="00817793" w:rsidRDefault="002719FC">
            <w:pPr>
              <w:spacing w:before="120" w:after="120" w:line="240" w:lineRule="auto"/>
              <w:jc w:val="center"/>
              <w:rPr>
                <w:b/>
                <w:sz w:val="20"/>
                <w:szCs w:val="20"/>
              </w:rPr>
            </w:pPr>
            <w:r>
              <w:rPr>
                <w:b/>
                <w:sz w:val="20"/>
                <w:szCs w:val="20"/>
              </w:rPr>
              <w:t>Análise da proposta</w:t>
            </w:r>
          </w:p>
        </w:tc>
        <w:tc>
          <w:tcPr>
            <w:tcW w:w="2723" w:type="dxa"/>
            <w:shd w:val="clear" w:color="auto" w:fill="D9E2F3"/>
          </w:tcPr>
          <w:p w14:paraId="13BD3FD1" w14:textId="77777777" w:rsidR="00817793" w:rsidRDefault="002719FC">
            <w:pPr>
              <w:spacing w:before="120" w:after="120" w:line="240" w:lineRule="auto"/>
              <w:jc w:val="center"/>
              <w:rPr>
                <w:b/>
                <w:sz w:val="20"/>
                <w:szCs w:val="20"/>
              </w:rPr>
            </w:pPr>
            <w:r>
              <w:rPr>
                <w:b/>
                <w:sz w:val="20"/>
                <w:szCs w:val="20"/>
              </w:rPr>
              <w:t>Parecerista</w:t>
            </w:r>
          </w:p>
        </w:tc>
      </w:tr>
      <w:tr w:rsidR="00817793" w14:paraId="0C12BD26" w14:textId="77777777">
        <w:trPr>
          <w:trHeight w:val="454"/>
          <w:jc w:val="center"/>
        </w:trPr>
        <w:tc>
          <w:tcPr>
            <w:tcW w:w="1481" w:type="dxa"/>
            <w:shd w:val="clear" w:color="auto" w:fill="auto"/>
          </w:tcPr>
          <w:p w14:paraId="20F07828" w14:textId="77777777" w:rsidR="00817793" w:rsidRDefault="002719FC">
            <w:pPr>
              <w:spacing w:before="120" w:after="120" w:line="240" w:lineRule="auto"/>
              <w:jc w:val="center"/>
              <w:rPr>
                <w:b/>
                <w:sz w:val="20"/>
                <w:szCs w:val="20"/>
              </w:rPr>
            </w:pPr>
            <w:r>
              <w:rPr>
                <w:b/>
                <w:sz w:val="20"/>
                <w:szCs w:val="20"/>
              </w:rPr>
              <w:t>Ferramenta</w:t>
            </w:r>
          </w:p>
        </w:tc>
        <w:tc>
          <w:tcPr>
            <w:tcW w:w="2268" w:type="dxa"/>
            <w:shd w:val="clear" w:color="auto" w:fill="auto"/>
          </w:tcPr>
          <w:p w14:paraId="7D479D87" w14:textId="77777777" w:rsidR="00817793" w:rsidRDefault="002719FC">
            <w:pPr>
              <w:spacing w:before="120" w:after="120" w:line="240" w:lineRule="auto"/>
              <w:jc w:val="center"/>
              <w:rPr>
                <w:sz w:val="20"/>
                <w:szCs w:val="20"/>
              </w:rPr>
            </w:pPr>
            <w:r>
              <w:rPr>
                <w:sz w:val="20"/>
                <w:szCs w:val="20"/>
              </w:rPr>
              <w:t>RoB-2.0</w:t>
            </w:r>
          </w:p>
        </w:tc>
        <w:tc>
          <w:tcPr>
            <w:tcW w:w="2663" w:type="dxa"/>
          </w:tcPr>
          <w:p w14:paraId="23B3CBCF" w14:textId="77777777" w:rsidR="00817793" w:rsidRDefault="002719FC">
            <w:pPr>
              <w:spacing w:before="120" w:after="120" w:line="240" w:lineRule="auto"/>
              <w:jc w:val="center"/>
              <w:rPr>
                <w:sz w:val="20"/>
                <w:szCs w:val="20"/>
              </w:rPr>
            </w:pPr>
            <w:r>
              <w:rPr>
                <w:sz w:val="20"/>
                <w:szCs w:val="20"/>
              </w:rPr>
              <w:t>Parcialmente Adequada</w:t>
            </w:r>
          </w:p>
          <w:p w14:paraId="3CB648E9" w14:textId="77777777" w:rsidR="00817793" w:rsidRDefault="00817793">
            <w:pPr>
              <w:spacing w:before="120" w:after="120" w:line="240" w:lineRule="auto"/>
              <w:jc w:val="center"/>
              <w:rPr>
                <w:sz w:val="20"/>
                <w:szCs w:val="20"/>
              </w:rPr>
            </w:pPr>
          </w:p>
        </w:tc>
        <w:tc>
          <w:tcPr>
            <w:tcW w:w="2723" w:type="dxa"/>
          </w:tcPr>
          <w:p w14:paraId="53D72EDB" w14:textId="77777777" w:rsidR="00817793" w:rsidRDefault="002719FC">
            <w:pPr>
              <w:spacing w:before="120" w:after="120" w:line="240" w:lineRule="auto"/>
              <w:jc w:val="center"/>
              <w:rPr>
                <w:sz w:val="20"/>
                <w:szCs w:val="20"/>
              </w:rPr>
            </w:pPr>
            <w:r>
              <w:rPr>
                <w:sz w:val="20"/>
                <w:szCs w:val="20"/>
              </w:rPr>
              <w:t>RoB-2.0</w:t>
            </w:r>
          </w:p>
        </w:tc>
      </w:tr>
      <w:tr w:rsidR="00817793" w14:paraId="74283F25" w14:textId="77777777">
        <w:trPr>
          <w:trHeight w:val="454"/>
          <w:jc w:val="center"/>
        </w:trPr>
        <w:tc>
          <w:tcPr>
            <w:tcW w:w="1481" w:type="dxa"/>
            <w:shd w:val="clear" w:color="auto" w:fill="auto"/>
          </w:tcPr>
          <w:p w14:paraId="26774AD7" w14:textId="77777777" w:rsidR="00817793" w:rsidRDefault="002719FC">
            <w:pPr>
              <w:spacing w:before="120" w:after="120" w:line="240" w:lineRule="auto"/>
              <w:jc w:val="center"/>
              <w:rPr>
                <w:b/>
                <w:sz w:val="20"/>
                <w:szCs w:val="20"/>
              </w:rPr>
            </w:pPr>
            <w:r>
              <w:rPr>
                <w:b/>
                <w:sz w:val="20"/>
                <w:szCs w:val="20"/>
              </w:rPr>
              <w:t>Revisores envolvidos</w:t>
            </w:r>
          </w:p>
        </w:tc>
        <w:tc>
          <w:tcPr>
            <w:tcW w:w="2268" w:type="dxa"/>
            <w:shd w:val="clear" w:color="auto" w:fill="auto"/>
          </w:tcPr>
          <w:p w14:paraId="29A5AC72" w14:textId="77777777" w:rsidR="00817793" w:rsidRDefault="002719FC">
            <w:pPr>
              <w:spacing w:before="120" w:after="120" w:line="240" w:lineRule="auto"/>
              <w:jc w:val="center"/>
              <w:rPr>
                <w:sz w:val="20"/>
                <w:szCs w:val="20"/>
              </w:rPr>
            </w:pPr>
            <w:r>
              <w:rPr>
                <w:sz w:val="20"/>
                <w:szCs w:val="20"/>
              </w:rPr>
              <w:t>Não informado]</w:t>
            </w:r>
          </w:p>
        </w:tc>
        <w:tc>
          <w:tcPr>
            <w:tcW w:w="2663" w:type="dxa"/>
          </w:tcPr>
          <w:p w14:paraId="7135D68F" w14:textId="77777777" w:rsidR="00817793" w:rsidRDefault="002719FC">
            <w:pPr>
              <w:spacing w:before="120" w:after="120" w:line="240" w:lineRule="auto"/>
              <w:jc w:val="center"/>
              <w:rPr>
                <w:sz w:val="20"/>
                <w:szCs w:val="20"/>
              </w:rPr>
            </w:pPr>
            <w:r>
              <w:rPr>
                <w:sz w:val="20"/>
                <w:szCs w:val="20"/>
              </w:rPr>
              <w:t>Inadequado</w:t>
            </w:r>
          </w:p>
        </w:tc>
        <w:tc>
          <w:tcPr>
            <w:tcW w:w="2723" w:type="dxa"/>
          </w:tcPr>
          <w:p w14:paraId="6096B54A" w14:textId="77777777" w:rsidR="00817793" w:rsidRDefault="002719FC">
            <w:pPr>
              <w:spacing w:before="120" w:after="120" w:line="240" w:lineRule="auto"/>
              <w:jc w:val="center"/>
              <w:rPr>
                <w:sz w:val="20"/>
                <w:szCs w:val="20"/>
              </w:rPr>
            </w:pPr>
            <w:r>
              <w:rPr>
                <w:sz w:val="20"/>
                <w:szCs w:val="20"/>
              </w:rPr>
              <w:t>Um revisor</w:t>
            </w:r>
          </w:p>
        </w:tc>
      </w:tr>
      <w:tr w:rsidR="00817793" w14:paraId="6D2F8F82" w14:textId="77777777">
        <w:trPr>
          <w:trHeight w:val="454"/>
          <w:jc w:val="center"/>
        </w:trPr>
        <w:tc>
          <w:tcPr>
            <w:tcW w:w="1481" w:type="dxa"/>
            <w:shd w:val="clear" w:color="auto" w:fill="auto"/>
          </w:tcPr>
          <w:p w14:paraId="2189BC14" w14:textId="77777777" w:rsidR="00817793" w:rsidRDefault="002719FC">
            <w:pPr>
              <w:spacing w:before="120" w:after="120" w:line="240" w:lineRule="auto"/>
              <w:jc w:val="center"/>
              <w:rPr>
                <w:b/>
                <w:sz w:val="20"/>
                <w:szCs w:val="20"/>
              </w:rPr>
            </w:pPr>
            <w:r>
              <w:rPr>
                <w:b/>
                <w:sz w:val="20"/>
                <w:szCs w:val="20"/>
              </w:rPr>
              <w:t>Resolução divergências</w:t>
            </w:r>
          </w:p>
        </w:tc>
        <w:tc>
          <w:tcPr>
            <w:tcW w:w="2268" w:type="dxa"/>
            <w:shd w:val="clear" w:color="auto" w:fill="auto"/>
          </w:tcPr>
          <w:p w14:paraId="68FED4C5" w14:textId="77777777" w:rsidR="00817793" w:rsidRDefault="002719FC">
            <w:pPr>
              <w:spacing w:before="120" w:after="120" w:line="240" w:lineRule="auto"/>
              <w:jc w:val="center"/>
              <w:rPr>
                <w:sz w:val="20"/>
                <w:szCs w:val="20"/>
              </w:rPr>
            </w:pPr>
            <w:r>
              <w:rPr>
                <w:sz w:val="20"/>
                <w:szCs w:val="20"/>
              </w:rPr>
              <w:t>Não informado]</w:t>
            </w:r>
          </w:p>
        </w:tc>
        <w:tc>
          <w:tcPr>
            <w:tcW w:w="2663" w:type="dxa"/>
          </w:tcPr>
          <w:p w14:paraId="08E6804D" w14:textId="77777777" w:rsidR="00817793" w:rsidRDefault="002719FC">
            <w:pPr>
              <w:spacing w:before="120" w:after="120" w:line="240" w:lineRule="auto"/>
              <w:jc w:val="center"/>
              <w:rPr>
                <w:sz w:val="20"/>
                <w:szCs w:val="20"/>
              </w:rPr>
            </w:pPr>
            <w:r>
              <w:rPr>
                <w:sz w:val="20"/>
                <w:szCs w:val="20"/>
              </w:rPr>
              <w:t>Inadequado</w:t>
            </w:r>
          </w:p>
        </w:tc>
        <w:tc>
          <w:tcPr>
            <w:tcW w:w="2723" w:type="dxa"/>
          </w:tcPr>
          <w:p w14:paraId="1B2E27C5" w14:textId="77777777" w:rsidR="00817793" w:rsidRDefault="002719FC">
            <w:pPr>
              <w:spacing w:before="120" w:after="120" w:line="240" w:lineRule="auto"/>
              <w:jc w:val="center"/>
              <w:rPr>
                <w:sz w:val="20"/>
                <w:szCs w:val="20"/>
              </w:rPr>
            </w:pPr>
            <w:r>
              <w:rPr>
                <w:sz w:val="20"/>
                <w:szCs w:val="20"/>
              </w:rPr>
              <w:t>Um revisor</w:t>
            </w:r>
          </w:p>
        </w:tc>
      </w:tr>
    </w:tbl>
    <w:p w14:paraId="0C178E9E" w14:textId="77777777" w:rsidR="00817793" w:rsidRDefault="00817793">
      <w:pPr>
        <w:pBdr>
          <w:top w:val="nil"/>
          <w:left w:val="nil"/>
          <w:bottom w:val="nil"/>
          <w:right w:val="nil"/>
          <w:between w:val="nil"/>
        </w:pBdr>
        <w:spacing w:before="120" w:after="120" w:line="240" w:lineRule="auto"/>
        <w:rPr>
          <w:i/>
          <w:color w:val="FF0000"/>
        </w:rPr>
      </w:pPr>
    </w:p>
    <w:p w14:paraId="3C0395D3" w14:textId="77777777" w:rsidR="00817793" w:rsidRDefault="00817793">
      <w:pPr>
        <w:rPr>
          <w:smallCaps/>
          <w:highlight w:val="cyan"/>
        </w:rPr>
      </w:pPr>
    </w:p>
    <w:tbl>
      <w:tblPr>
        <w:tblStyle w:val="af8"/>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4D5BA880" w14:textId="77777777">
        <w:trPr>
          <w:trHeight w:val="416"/>
        </w:trPr>
        <w:tc>
          <w:tcPr>
            <w:tcW w:w="9072" w:type="dxa"/>
            <w:shd w:val="clear" w:color="auto" w:fill="D9E2F3"/>
            <w:vAlign w:val="center"/>
          </w:tcPr>
          <w:p w14:paraId="03F3222F" w14:textId="77777777" w:rsidR="00817793" w:rsidRDefault="002719FC">
            <w:pPr>
              <w:spacing w:before="120" w:after="120" w:line="240" w:lineRule="auto"/>
              <w:jc w:val="center"/>
              <w:rPr>
                <w:b/>
              </w:rPr>
            </w:pPr>
            <w:r>
              <w:rPr>
                <w:b/>
              </w:rPr>
              <w:t>Comentários adicionais sobre as características do processo de avaliação do risco de viés ou qualidade metodológica dos estudos incluídos</w:t>
            </w:r>
          </w:p>
        </w:tc>
      </w:tr>
      <w:tr w:rsidR="00817793" w14:paraId="08983183" w14:textId="77777777">
        <w:trPr>
          <w:trHeight w:val="750"/>
        </w:trPr>
        <w:tc>
          <w:tcPr>
            <w:tcW w:w="9072" w:type="dxa"/>
            <w:vAlign w:val="center"/>
          </w:tcPr>
          <w:p w14:paraId="34F278F7" w14:textId="77777777" w:rsidR="00817793" w:rsidRDefault="002719FC">
            <w:pPr>
              <w:spacing w:before="120" w:after="120" w:line="240" w:lineRule="auto"/>
            </w:pPr>
            <w:r>
              <w:t xml:space="preserve">O proponente não especificou o número de revisores envolvidos no processo de avaliação do risco de viés dos estudos incluídos, nem detalhou a resolução de eventuais divergências entre avaliadores. Embora o proponente tenha adequadamente empregado a ferramenta </w:t>
            </w:r>
            <w:r w:rsidRPr="00314A1D">
              <w:rPr>
                <w:i/>
                <w:iCs/>
              </w:rPr>
              <w:t xml:space="preserve">Risk </w:t>
            </w:r>
            <w:proofErr w:type="spellStart"/>
            <w:r w:rsidRPr="00314A1D">
              <w:rPr>
                <w:i/>
                <w:iCs/>
              </w:rPr>
              <w:t>of</w:t>
            </w:r>
            <w:proofErr w:type="spellEnd"/>
            <w:r w:rsidRPr="00314A1D">
              <w:rPr>
                <w:i/>
                <w:iCs/>
              </w:rPr>
              <w:t xml:space="preserve"> Bias 2.0</w:t>
            </w:r>
            <w:r>
              <w:t xml:space="preserve"> (RoB-2.0) para avaliação do risco de viés dos ensaios clínicos randomizados, observa-se que não foi realizada a avaliação da qualidade metodológica das revisões sistemáticas incluídas no seu dossiê. Considerando que o corpus de evidências analisado compreende também revisões sistemáticas, seria imprescindível a aplicação da ferramenta AMSTAR-2 (</w:t>
            </w:r>
            <w:r w:rsidRPr="00314A1D">
              <w:rPr>
                <w:i/>
                <w:iCs/>
              </w:rPr>
              <w:t xml:space="preserve">A </w:t>
            </w:r>
            <w:proofErr w:type="spellStart"/>
            <w:r w:rsidRPr="00314A1D">
              <w:rPr>
                <w:i/>
                <w:iCs/>
              </w:rPr>
              <w:t>MeaSurement</w:t>
            </w:r>
            <w:proofErr w:type="spellEnd"/>
            <w:r w:rsidRPr="00314A1D">
              <w:rPr>
                <w:i/>
                <w:iCs/>
              </w:rPr>
              <w:t xml:space="preserve"> Tool </w:t>
            </w:r>
            <w:proofErr w:type="spellStart"/>
            <w:r w:rsidRPr="00314A1D">
              <w:rPr>
                <w:i/>
                <w:iCs/>
              </w:rPr>
              <w:t>to</w:t>
            </w:r>
            <w:proofErr w:type="spellEnd"/>
            <w:r w:rsidRPr="00314A1D">
              <w:rPr>
                <w:i/>
                <w:iCs/>
              </w:rPr>
              <w:t xml:space="preserve"> </w:t>
            </w:r>
            <w:proofErr w:type="spellStart"/>
            <w:r w:rsidRPr="00314A1D">
              <w:rPr>
                <w:i/>
                <w:iCs/>
              </w:rPr>
              <w:t>Assess</w:t>
            </w:r>
            <w:proofErr w:type="spellEnd"/>
            <w:r w:rsidRPr="00314A1D">
              <w:rPr>
                <w:i/>
                <w:iCs/>
              </w:rPr>
              <w:t xml:space="preserve"> </w:t>
            </w:r>
            <w:proofErr w:type="spellStart"/>
            <w:r w:rsidRPr="00314A1D">
              <w:rPr>
                <w:i/>
                <w:iCs/>
              </w:rPr>
              <w:t>Systematic</w:t>
            </w:r>
            <w:proofErr w:type="spellEnd"/>
            <w:r w:rsidRPr="00314A1D">
              <w:rPr>
                <w:i/>
                <w:iCs/>
              </w:rPr>
              <w:t xml:space="preserve"> Reviews</w:t>
            </w:r>
            <w:r>
              <w:t>).</w:t>
            </w:r>
          </w:p>
          <w:p w14:paraId="6EAFC755" w14:textId="77777777" w:rsidR="00817793" w:rsidRDefault="002719FC">
            <w:pPr>
              <w:spacing w:before="120" w:after="120" w:line="240" w:lineRule="auto"/>
            </w:pPr>
            <w:r>
              <w:t>Os pareceristas procederam com a avaliação dos ensaios clínicos incluídos utilizando a ferramenta RoB-2.0.</w:t>
            </w:r>
          </w:p>
        </w:tc>
      </w:tr>
    </w:tbl>
    <w:p w14:paraId="3254BC2F" w14:textId="77777777" w:rsidR="00817793" w:rsidRDefault="00817793">
      <w:pPr>
        <w:rPr>
          <w:smallCaps/>
          <w:highlight w:val="cyan"/>
        </w:rPr>
      </w:pPr>
    </w:p>
    <w:p w14:paraId="0CDFA20C" w14:textId="77777777" w:rsidR="00817793" w:rsidRDefault="002719FC">
      <w:pPr>
        <w:pStyle w:val="Ttulo4"/>
        <w:spacing w:before="0" w:after="160" w:line="259" w:lineRule="auto"/>
      </w:pPr>
      <w:bookmarkStart w:id="35" w:name="_4lqoy2d5oskt" w:colFirst="0" w:colLast="0"/>
      <w:bookmarkEnd w:id="35"/>
      <w:r>
        <w:rPr>
          <w:b/>
        </w:rPr>
        <w:lastRenderedPageBreak/>
        <w:t>Quadro 15.</w:t>
      </w:r>
      <w:r>
        <w:t xml:space="preserve"> Risco de viés ou qualidade metodológica dos estudos incluídos apresentado pelo PROPONENTE </w:t>
      </w:r>
    </w:p>
    <w:p w14:paraId="651E9592" w14:textId="77777777" w:rsidR="00817793" w:rsidRDefault="002719FC">
      <w:pPr>
        <w:rPr>
          <w:i/>
          <w:smallCaps/>
        </w:rPr>
      </w:pPr>
      <w:r>
        <w:rPr>
          <w:i/>
          <w:smallCaps/>
          <w:noProof/>
        </w:rPr>
        <w:drawing>
          <wp:inline distT="114300" distB="114300" distL="114300" distR="114300" wp14:anchorId="06F8E81A" wp14:editId="07777777">
            <wp:extent cx="6591300" cy="3778015"/>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t="2544"/>
                    <a:stretch>
                      <a:fillRect/>
                    </a:stretch>
                  </pic:blipFill>
                  <pic:spPr>
                    <a:xfrm>
                      <a:off x="0" y="0"/>
                      <a:ext cx="6591300" cy="3778015"/>
                    </a:xfrm>
                    <a:prstGeom prst="rect">
                      <a:avLst/>
                    </a:prstGeom>
                    <a:ln/>
                  </pic:spPr>
                </pic:pic>
              </a:graphicData>
            </a:graphic>
          </wp:inline>
        </w:drawing>
      </w:r>
    </w:p>
    <w:p w14:paraId="14F6C0D2" w14:textId="77777777" w:rsidR="00817793" w:rsidRDefault="002719FC">
      <w:pPr>
        <w:pStyle w:val="Ttulo4"/>
        <w:spacing w:before="0" w:after="160" w:line="259" w:lineRule="auto"/>
        <w:rPr>
          <w:i/>
          <w:color w:val="FF0000"/>
        </w:rPr>
      </w:pPr>
      <w:bookmarkStart w:id="36" w:name="_rd1wypsrm1b1" w:colFirst="0" w:colLast="0"/>
      <w:bookmarkEnd w:id="36"/>
      <w:r>
        <w:rPr>
          <w:b/>
        </w:rPr>
        <w:t>Quadro 16.</w:t>
      </w:r>
      <w:r>
        <w:t xml:space="preserve"> Risco de viés ou qualidade metodológica dos estudos incluídos na análise do PARECERISTA.</w:t>
      </w:r>
    </w:p>
    <w:tbl>
      <w:tblPr>
        <w:tblStyle w:val="af9"/>
        <w:tblW w:w="9075"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335"/>
        <w:gridCol w:w="2565"/>
        <w:gridCol w:w="2565"/>
        <w:gridCol w:w="2610"/>
      </w:tblGrid>
      <w:tr w:rsidR="00817793" w:rsidRPr="00344104" w14:paraId="7AE90B58" w14:textId="77777777">
        <w:tc>
          <w:tcPr>
            <w:tcW w:w="1335" w:type="dxa"/>
            <w:tcBorders>
              <w:top w:val="single" w:sz="6" w:space="0" w:color="000000"/>
              <w:left w:val="single" w:sz="6" w:space="0" w:color="000000"/>
              <w:bottom w:val="single" w:sz="6" w:space="0" w:color="000000"/>
              <w:right w:val="single" w:sz="6" w:space="0" w:color="000000"/>
            </w:tcBorders>
            <w:shd w:val="clear" w:color="auto" w:fill="D9E2F3"/>
          </w:tcPr>
          <w:p w14:paraId="154FF7FC" w14:textId="77777777" w:rsidR="00817793" w:rsidRDefault="002719FC">
            <w:pPr>
              <w:spacing w:before="120" w:after="120"/>
              <w:jc w:val="center"/>
            </w:pPr>
            <w:r>
              <w:rPr>
                <w:b/>
              </w:rPr>
              <w:t>Estudo</w:t>
            </w:r>
          </w:p>
        </w:tc>
        <w:tc>
          <w:tcPr>
            <w:tcW w:w="2565" w:type="dxa"/>
            <w:tcBorders>
              <w:top w:val="single" w:sz="6" w:space="0" w:color="000000"/>
              <w:left w:val="nil"/>
              <w:bottom w:val="single" w:sz="6" w:space="0" w:color="000000"/>
              <w:right w:val="single" w:sz="6" w:space="0" w:color="000000"/>
            </w:tcBorders>
            <w:shd w:val="clear" w:color="auto" w:fill="D9E2F3"/>
          </w:tcPr>
          <w:p w14:paraId="79CFE477" w14:textId="77777777" w:rsidR="00817793" w:rsidRDefault="002719FC">
            <w:pPr>
              <w:spacing w:before="120" w:after="120"/>
              <w:jc w:val="center"/>
              <w:rPr>
                <w:b/>
              </w:rPr>
            </w:pPr>
            <w:r>
              <w:rPr>
                <w:b/>
              </w:rPr>
              <w:t>TULIP-1 (</w:t>
            </w:r>
            <w:proofErr w:type="spellStart"/>
            <w:r>
              <w:rPr>
                <w:b/>
              </w:rPr>
              <w:t>Furie</w:t>
            </w:r>
            <w:proofErr w:type="spellEnd"/>
            <w:r>
              <w:rPr>
                <w:b/>
              </w:rPr>
              <w:t xml:space="preserve"> et al., 2019)</w:t>
            </w:r>
          </w:p>
        </w:tc>
        <w:tc>
          <w:tcPr>
            <w:tcW w:w="2565" w:type="dxa"/>
            <w:tcBorders>
              <w:top w:val="single" w:sz="6" w:space="0" w:color="000000"/>
              <w:left w:val="nil"/>
              <w:bottom w:val="single" w:sz="6" w:space="0" w:color="000000"/>
              <w:right w:val="single" w:sz="6" w:space="0" w:color="000000"/>
            </w:tcBorders>
            <w:shd w:val="clear" w:color="auto" w:fill="D9E2F3"/>
          </w:tcPr>
          <w:p w14:paraId="220A47AA" w14:textId="77777777" w:rsidR="00817793" w:rsidRDefault="002719FC">
            <w:pPr>
              <w:spacing w:before="120" w:after="120"/>
              <w:jc w:val="center"/>
              <w:rPr>
                <w:b/>
              </w:rPr>
            </w:pPr>
            <w:r>
              <w:rPr>
                <w:b/>
              </w:rPr>
              <w:t>TULIP-2 (Morand et al., 2020)</w:t>
            </w:r>
          </w:p>
        </w:tc>
        <w:tc>
          <w:tcPr>
            <w:tcW w:w="2610" w:type="dxa"/>
            <w:tcBorders>
              <w:top w:val="single" w:sz="6" w:space="0" w:color="000000"/>
              <w:left w:val="nil"/>
              <w:bottom w:val="single" w:sz="6" w:space="0" w:color="000000"/>
              <w:right w:val="single" w:sz="6" w:space="0" w:color="000000"/>
            </w:tcBorders>
            <w:shd w:val="clear" w:color="auto" w:fill="D9E2F3"/>
          </w:tcPr>
          <w:p w14:paraId="3B181B59" w14:textId="77777777" w:rsidR="00817793" w:rsidRPr="00115FE0" w:rsidRDefault="002719FC">
            <w:pPr>
              <w:spacing w:before="120" w:after="120"/>
              <w:jc w:val="center"/>
              <w:rPr>
                <w:b/>
                <w:lang w:val="de-DE"/>
              </w:rPr>
            </w:pPr>
            <w:r w:rsidRPr="00115FE0">
              <w:rPr>
                <w:b/>
                <w:lang w:val="de-DE"/>
              </w:rPr>
              <w:t>TULIP-LTE (Kalunian et al., 2023)</w:t>
            </w:r>
          </w:p>
        </w:tc>
      </w:tr>
      <w:tr w:rsidR="00817793" w14:paraId="0A251852" w14:textId="77777777">
        <w:trPr>
          <w:trHeight w:val="300"/>
        </w:trPr>
        <w:tc>
          <w:tcPr>
            <w:tcW w:w="1335" w:type="dxa"/>
            <w:tcBorders>
              <w:top w:val="nil"/>
              <w:left w:val="single" w:sz="6" w:space="0" w:color="000000"/>
              <w:bottom w:val="single" w:sz="6" w:space="0" w:color="000000"/>
              <w:right w:val="single" w:sz="6" w:space="0" w:color="000000"/>
            </w:tcBorders>
            <w:shd w:val="clear" w:color="auto" w:fill="auto"/>
          </w:tcPr>
          <w:p w14:paraId="26D0E055" w14:textId="77777777" w:rsidR="00817793" w:rsidRDefault="002719FC">
            <w:pPr>
              <w:spacing w:before="120" w:after="120"/>
              <w:jc w:val="center"/>
              <w:rPr>
                <w:rFonts w:ascii="Quattrocento Sans" w:eastAsia="Quattrocento Sans" w:hAnsi="Quattrocento Sans" w:cs="Quattrocento Sans"/>
                <w:sz w:val="20"/>
                <w:szCs w:val="20"/>
              </w:rPr>
            </w:pPr>
            <w:r>
              <w:rPr>
                <w:sz w:val="20"/>
                <w:szCs w:val="20"/>
              </w:rPr>
              <w:t>Viés no processo de randomização</w:t>
            </w:r>
          </w:p>
        </w:tc>
        <w:tc>
          <w:tcPr>
            <w:tcW w:w="2565" w:type="dxa"/>
            <w:tcBorders>
              <w:top w:val="nil"/>
              <w:left w:val="nil"/>
              <w:bottom w:val="single" w:sz="6" w:space="0" w:color="000000"/>
              <w:right w:val="single" w:sz="6" w:space="0" w:color="000000"/>
            </w:tcBorders>
            <w:shd w:val="clear" w:color="auto" w:fill="auto"/>
          </w:tcPr>
          <w:p w14:paraId="4E938F98" w14:textId="77777777" w:rsidR="00817793" w:rsidRDefault="002719FC">
            <w:pPr>
              <w:spacing w:before="120" w:after="120"/>
              <w:jc w:val="center"/>
            </w:pPr>
            <w:r>
              <w:t>Baixo risco de viés</w:t>
            </w:r>
          </w:p>
          <w:p w14:paraId="5CD14227" w14:textId="40A06904" w:rsidR="00817793" w:rsidRDefault="002719FC">
            <w:pPr>
              <w:spacing w:before="120" w:after="120"/>
              <w:jc w:val="center"/>
            </w:pPr>
            <w:r>
              <w:t xml:space="preserve">O estudo reporta que foi utilizada randomização em blocos usando um sistema interativo de resposta por voz ou web para designar os pacientes (2:1:2) para </w:t>
            </w:r>
            <w:r>
              <w:lastRenderedPageBreak/>
              <w:t xml:space="preserve">receber placebo + terapia </w:t>
            </w:r>
            <w:proofErr w:type="gramStart"/>
            <w:r>
              <w:t>padrão(</w:t>
            </w:r>
            <w:proofErr w:type="gramEnd"/>
            <w:r>
              <w:t xml:space="preserve">*), </w:t>
            </w:r>
            <w:proofErr w:type="spellStart"/>
            <w:r>
              <w:t>anifrolumab</w:t>
            </w:r>
            <w:r w:rsidR="00020252">
              <w:t>e</w:t>
            </w:r>
            <w:proofErr w:type="spellEnd"/>
            <w:r>
              <w:t xml:space="preserve"> 150 mg ou </w:t>
            </w:r>
            <w:proofErr w:type="spellStart"/>
            <w:r>
              <w:t>anifrolumab</w:t>
            </w:r>
            <w:r w:rsidR="00020252">
              <w:t>e</w:t>
            </w:r>
            <w:proofErr w:type="spellEnd"/>
            <w:r>
              <w:t xml:space="preserve"> 300 mg.</w:t>
            </w:r>
          </w:p>
          <w:p w14:paraId="10FA2683" w14:textId="77777777" w:rsidR="00817793" w:rsidRDefault="002719FC">
            <w:pPr>
              <w:spacing w:before="120" w:after="120"/>
              <w:jc w:val="center"/>
            </w:pPr>
            <w:r>
              <w:t xml:space="preserve">A randomização foi estratificada por escore SLEDAI-2K (&lt;10 </w:t>
            </w:r>
            <w:proofErr w:type="spellStart"/>
            <w:r>
              <w:t>vs</w:t>
            </w:r>
            <w:proofErr w:type="spellEnd"/>
            <w:r>
              <w:t xml:space="preserve"> ≥10), dose de corticosteroide oral (</w:t>
            </w:r>
            <w:proofErr w:type="spellStart"/>
            <w:r>
              <w:t>prednisolona</w:t>
            </w:r>
            <w:proofErr w:type="spellEnd"/>
            <w:r>
              <w:t xml:space="preserve"> ou equivalente &lt;10 mg/dia </w:t>
            </w:r>
            <w:proofErr w:type="spellStart"/>
            <w:r>
              <w:t>vs</w:t>
            </w:r>
            <w:proofErr w:type="spellEnd"/>
            <w:r>
              <w:t xml:space="preserve"> ≥10 mg/dia) e assinatura genética de interferon tipo I (classificação alta </w:t>
            </w:r>
            <w:proofErr w:type="spellStart"/>
            <w:r>
              <w:t>vs</w:t>
            </w:r>
            <w:proofErr w:type="spellEnd"/>
            <w:r>
              <w:t xml:space="preserve"> baixa).</w:t>
            </w:r>
          </w:p>
          <w:p w14:paraId="60451C57" w14:textId="77777777" w:rsidR="00817793" w:rsidRDefault="002719FC">
            <w:pPr>
              <w:spacing w:before="120" w:after="120"/>
              <w:jc w:val="center"/>
            </w:pPr>
            <w:r>
              <w:t>As características basais dos pacientes estavam bem balanceadas entre os grupos de tratamento.</w:t>
            </w:r>
          </w:p>
        </w:tc>
        <w:tc>
          <w:tcPr>
            <w:tcW w:w="2565" w:type="dxa"/>
            <w:tcBorders>
              <w:top w:val="nil"/>
              <w:left w:val="nil"/>
              <w:bottom w:val="single" w:sz="6" w:space="0" w:color="000000"/>
              <w:right w:val="single" w:sz="6" w:space="0" w:color="000000"/>
            </w:tcBorders>
            <w:shd w:val="clear" w:color="auto" w:fill="auto"/>
          </w:tcPr>
          <w:p w14:paraId="71F75C81" w14:textId="77777777" w:rsidR="00817793" w:rsidRDefault="002719FC">
            <w:pPr>
              <w:spacing w:before="120" w:after="120"/>
              <w:jc w:val="center"/>
            </w:pPr>
            <w:r>
              <w:lastRenderedPageBreak/>
              <w:t>Baixo risco de viés</w:t>
            </w:r>
          </w:p>
          <w:p w14:paraId="47234AEC" w14:textId="77777777" w:rsidR="00817793" w:rsidRDefault="002719FC">
            <w:pPr>
              <w:spacing w:before="120" w:after="120"/>
              <w:jc w:val="center"/>
            </w:pPr>
            <w:r>
              <w:t>O estudo utilizou randomização em uma proporção 1:1, com alocação estratificada por:</w:t>
            </w:r>
          </w:p>
          <w:p w14:paraId="62E5A143" w14:textId="77777777" w:rsidR="00817793" w:rsidRDefault="002719FC">
            <w:pPr>
              <w:spacing w:before="120" w:after="120"/>
              <w:jc w:val="center"/>
            </w:pPr>
            <w:r>
              <w:t>Escore SLEDAI-2K (&lt;10 vs. ≥10);</w:t>
            </w:r>
          </w:p>
          <w:p w14:paraId="039C5D1D" w14:textId="77777777" w:rsidR="00817793" w:rsidRDefault="002719FC">
            <w:pPr>
              <w:spacing w:before="120" w:after="120"/>
              <w:jc w:val="center"/>
            </w:pPr>
            <w:r>
              <w:lastRenderedPageBreak/>
              <w:t>Dose basal de corticosteroides (&lt;10 mg/dia vs. ≥10 mg/dia de prednisona ou equivalente);</w:t>
            </w:r>
          </w:p>
          <w:p w14:paraId="25A2F546" w14:textId="77777777" w:rsidR="00817793" w:rsidRDefault="002719FC">
            <w:pPr>
              <w:spacing w:before="120" w:after="120"/>
              <w:jc w:val="center"/>
            </w:pPr>
            <w:r>
              <w:t>Assinatura genética de interferon tipo I (alta vs. baixa).</w:t>
            </w:r>
          </w:p>
          <w:p w14:paraId="0AF6EECF" w14:textId="77777777" w:rsidR="00817793" w:rsidRDefault="002719FC">
            <w:pPr>
              <w:spacing w:before="120" w:after="120"/>
              <w:jc w:val="center"/>
            </w:pPr>
            <w:r>
              <w:t>A randomização foi realizada por um sistema centralizado e automatizado, garantindo alocação adequada.</w:t>
            </w:r>
          </w:p>
          <w:p w14:paraId="221A7419" w14:textId="51BDA4CE" w:rsidR="00817793" w:rsidRDefault="002719FC">
            <w:pPr>
              <w:spacing w:before="120" w:after="120"/>
              <w:jc w:val="center"/>
            </w:pPr>
            <w:r>
              <w:t>As características basais dos pacientes estavam bem balanceadas entre os grupos</w:t>
            </w:r>
            <w:r w:rsidR="004E7148">
              <w:t>.</w:t>
            </w:r>
          </w:p>
        </w:tc>
        <w:tc>
          <w:tcPr>
            <w:tcW w:w="2610" w:type="dxa"/>
            <w:tcBorders>
              <w:top w:val="nil"/>
              <w:left w:val="nil"/>
              <w:bottom w:val="single" w:sz="6" w:space="0" w:color="000000"/>
              <w:right w:val="single" w:sz="6" w:space="0" w:color="000000"/>
            </w:tcBorders>
            <w:shd w:val="clear" w:color="auto" w:fill="auto"/>
          </w:tcPr>
          <w:p w14:paraId="26F78A7E" w14:textId="77777777" w:rsidR="00817793" w:rsidRDefault="002719FC">
            <w:pPr>
              <w:spacing w:before="120" w:after="120"/>
              <w:jc w:val="center"/>
            </w:pPr>
            <w:r>
              <w:lastRenderedPageBreak/>
              <w:t>Baixo risco de viés</w:t>
            </w:r>
          </w:p>
          <w:p w14:paraId="3FE9A5B4" w14:textId="39F0016F" w:rsidR="00817793" w:rsidRDefault="002719FC">
            <w:pPr>
              <w:spacing w:before="120" w:after="120"/>
              <w:jc w:val="center"/>
            </w:pPr>
            <w:r>
              <w:t xml:space="preserve">O estudo utilizou randomização adequada no início da extensão (1:1 para placebo + terapia </w:t>
            </w:r>
            <w:proofErr w:type="gramStart"/>
            <w:r>
              <w:t>padrão(</w:t>
            </w:r>
            <w:proofErr w:type="gramEnd"/>
            <w:r>
              <w:t xml:space="preserve">*) ou </w:t>
            </w:r>
            <w:proofErr w:type="spellStart"/>
            <w:r>
              <w:t>anifrolumab</w:t>
            </w:r>
            <w:r w:rsidR="00020252">
              <w:t>e</w:t>
            </w:r>
            <w:proofErr w:type="spellEnd"/>
            <w:r>
              <w:t xml:space="preserve"> 300 mg). A randomização </w:t>
            </w:r>
            <w:r>
              <w:lastRenderedPageBreak/>
              <w:t>foi realizada por um sistema de resposta interativa por voz/web, minimizando riscos de manipulação.</w:t>
            </w:r>
          </w:p>
        </w:tc>
      </w:tr>
      <w:tr w:rsidR="00817793" w14:paraId="4115F32E" w14:textId="77777777">
        <w:tc>
          <w:tcPr>
            <w:tcW w:w="1335" w:type="dxa"/>
            <w:tcBorders>
              <w:top w:val="nil"/>
              <w:left w:val="single" w:sz="6" w:space="0" w:color="000000"/>
              <w:bottom w:val="single" w:sz="6" w:space="0" w:color="000000"/>
              <w:right w:val="single" w:sz="6" w:space="0" w:color="000000"/>
            </w:tcBorders>
            <w:shd w:val="clear" w:color="auto" w:fill="auto"/>
          </w:tcPr>
          <w:p w14:paraId="482849A8" w14:textId="77777777" w:rsidR="00817793" w:rsidRDefault="002719FC">
            <w:pPr>
              <w:spacing w:before="120" w:after="120"/>
              <w:jc w:val="center"/>
              <w:rPr>
                <w:rFonts w:ascii="Quattrocento Sans" w:eastAsia="Quattrocento Sans" w:hAnsi="Quattrocento Sans" w:cs="Quattrocento Sans"/>
                <w:sz w:val="20"/>
                <w:szCs w:val="20"/>
              </w:rPr>
            </w:pPr>
            <w:r>
              <w:rPr>
                <w:sz w:val="20"/>
                <w:szCs w:val="20"/>
              </w:rPr>
              <w:lastRenderedPageBreak/>
              <w:t>Viés devido a desvios das intervenções pretendidas</w:t>
            </w:r>
          </w:p>
        </w:tc>
        <w:tc>
          <w:tcPr>
            <w:tcW w:w="2565" w:type="dxa"/>
            <w:tcBorders>
              <w:top w:val="nil"/>
              <w:left w:val="nil"/>
              <w:bottom w:val="single" w:sz="6" w:space="0" w:color="000000"/>
              <w:right w:val="single" w:sz="6" w:space="0" w:color="000000"/>
            </w:tcBorders>
            <w:shd w:val="clear" w:color="auto" w:fill="auto"/>
          </w:tcPr>
          <w:p w14:paraId="678C7477" w14:textId="77777777" w:rsidR="00817793" w:rsidRDefault="002719FC">
            <w:pPr>
              <w:spacing w:before="120" w:after="120"/>
              <w:jc w:val="center"/>
            </w:pPr>
            <w:r>
              <w:t>Baixo risco de viés</w:t>
            </w:r>
          </w:p>
          <w:p w14:paraId="1F5EFD77" w14:textId="77777777" w:rsidR="00817793" w:rsidRDefault="002719FC">
            <w:pPr>
              <w:spacing w:before="120" w:after="120"/>
              <w:jc w:val="center"/>
            </w:pPr>
            <w:r>
              <w:t>O estudo foi descrito como duplo-cego, com medidas adequadas para garantir o mascaramento.</w:t>
            </w:r>
          </w:p>
          <w:p w14:paraId="310549C5" w14:textId="77777777" w:rsidR="00817793" w:rsidRDefault="002719FC">
            <w:pPr>
              <w:spacing w:before="120" w:after="120"/>
              <w:jc w:val="center"/>
            </w:pPr>
            <w:r>
              <w:t xml:space="preserve">O artigo menciona que "todas as embalagens e rotulagens do tratamento do estudo foram feitas para garantir o </w:t>
            </w:r>
            <w:r>
              <w:lastRenderedPageBreak/>
              <w:t>mascaramento para pacientes, investigadores, equipe do estudo e patrocinador".</w:t>
            </w:r>
          </w:p>
          <w:p w14:paraId="0EAC3EEC" w14:textId="77777777" w:rsidR="00817793" w:rsidRDefault="002719FC">
            <w:pPr>
              <w:spacing w:before="120" w:after="120"/>
              <w:jc w:val="center"/>
            </w:pPr>
            <w:r>
              <w:t>A análise primária foi realizada seguindo o princípio da intenção de tratar modificada (todos os pacientes randomizados que receberam pelo menos uma dose do tratamento).</w:t>
            </w:r>
          </w:p>
          <w:p w14:paraId="2255F03E" w14:textId="77777777" w:rsidR="00817793" w:rsidRDefault="002719FC">
            <w:pPr>
              <w:spacing w:before="120" w:after="120"/>
              <w:jc w:val="center"/>
            </w:pPr>
            <w:r>
              <w:t>Não há evidência de que os pacientes ou equipe médica tenham conhecimento da intervenção recebida durante o estudo.</w:t>
            </w:r>
          </w:p>
          <w:p w14:paraId="15B670DC" w14:textId="64E9A866" w:rsidR="00817793" w:rsidRDefault="002719FC">
            <w:pPr>
              <w:spacing w:before="120" w:after="120"/>
              <w:jc w:val="center"/>
            </w:pPr>
            <w:r>
              <w:t xml:space="preserve">As taxas de descontinuação foram semelhantes entre os grupos (36/180 [20%] no grupo </w:t>
            </w:r>
            <w:proofErr w:type="spellStart"/>
            <w:r>
              <w:t>anifrolumab</w:t>
            </w:r>
            <w:r w:rsidR="00020252">
              <w:t>e</w:t>
            </w:r>
            <w:proofErr w:type="spellEnd"/>
            <w:r>
              <w:t xml:space="preserve"> 300 mg e 38/184 [21%] no grupo placebo + terapia </w:t>
            </w:r>
            <w:proofErr w:type="gramStart"/>
            <w:r>
              <w:t>padrão(</w:t>
            </w:r>
            <w:proofErr w:type="gramEnd"/>
            <w:r>
              <w:t>*)).</w:t>
            </w:r>
          </w:p>
        </w:tc>
        <w:tc>
          <w:tcPr>
            <w:tcW w:w="2565" w:type="dxa"/>
            <w:tcBorders>
              <w:top w:val="nil"/>
              <w:left w:val="nil"/>
              <w:bottom w:val="single" w:sz="6" w:space="0" w:color="000000"/>
              <w:right w:val="single" w:sz="6" w:space="0" w:color="000000"/>
            </w:tcBorders>
            <w:shd w:val="clear" w:color="auto" w:fill="auto"/>
          </w:tcPr>
          <w:p w14:paraId="35DE4A39" w14:textId="77777777" w:rsidR="00817793" w:rsidRDefault="002719FC">
            <w:pPr>
              <w:spacing w:before="120" w:after="120"/>
              <w:jc w:val="center"/>
            </w:pPr>
            <w:r>
              <w:lastRenderedPageBreak/>
              <w:t>Baixo risco de viés</w:t>
            </w:r>
          </w:p>
          <w:p w14:paraId="0B50C570" w14:textId="77777777" w:rsidR="00817793" w:rsidRDefault="002719FC">
            <w:pPr>
              <w:spacing w:before="120" w:after="120"/>
              <w:jc w:val="center"/>
            </w:pPr>
            <w:r>
              <w:t>O estudo foi duplo-cego, com mascaramento adequado para pacientes, investigadores e avaliadores.</w:t>
            </w:r>
          </w:p>
          <w:p w14:paraId="402E517B" w14:textId="77777777" w:rsidR="00817793" w:rsidRDefault="002719FC">
            <w:pPr>
              <w:spacing w:before="120" w:after="120"/>
              <w:jc w:val="center"/>
            </w:pPr>
            <w:r>
              <w:t xml:space="preserve">As intervenções foram administradas de forma padronizada (infusões </w:t>
            </w:r>
            <w:r>
              <w:lastRenderedPageBreak/>
              <w:t>intravenosas a cada 4 semanas por 48 semanas).</w:t>
            </w:r>
          </w:p>
          <w:p w14:paraId="315DC76E" w14:textId="77777777" w:rsidR="00817793" w:rsidRDefault="002719FC">
            <w:pPr>
              <w:spacing w:before="120" w:after="120"/>
              <w:jc w:val="center"/>
            </w:pPr>
            <w:r>
              <w:t>A análise principal seguiu o princípio da intenção de tratar modificada (todos os pacientes randomizados que receberam pelo menos uma dose do tratamento).</w:t>
            </w:r>
          </w:p>
          <w:p w14:paraId="03439EBB" w14:textId="77777777" w:rsidR="00817793" w:rsidRDefault="002719FC">
            <w:pPr>
              <w:spacing w:before="120" w:after="120"/>
              <w:jc w:val="center"/>
            </w:pPr>
            <w:r>
              <w:t>Não há evidência de desvios significativos da intervenção que possam ter impactado os resultados.</w:t>
            </w:r>
          </w:p>
        </w:tc>
        <w:tc>
          <w:tcPr>
            <w:tcW w:w="2610" w:type="dxa"/>
            <w:tcBorders>
              <w:top w:val="nil"/>
              <w:left w:val="nil"/>
              <w:bottom w:val="single" w:sz="6" w:space="0" w:color="000000"/>
              <w:right w:val="single" w:sz="6" w:space="0" w:color="000000"/>
            </w:tcBorders>
            <w:shd w:val="clear" w:color="auto" w:fill="auto"/>
          </w:tcPr>
          <w:p w14:paraId="7B6A4DF0" w14:textId="77777777" w:rsidR="00817793" w:rsidRDefault="002719FC">
            <w:pPr>
              <w:spacing w:before="120" w:after="120"/>
              <w:jc w:val="center"/>
            </w:pPr>
            <w:r>
              <w:lastRenderedPageBreak/>
              <w:t>Baixo risco de viés</w:t>
            </w:r>
          </w:p>
          <w:p w14:paraId="198871A8" w14:textId="77777777" w:rsidR="00817793" w:rsidRDefault="002719FC">
            <w:pPr>
              <w:spacing w:before="120" w:after="120"/>
              <w:jc w:val="center"/>
            </w:pPr>
            <w:r>
              <w:t xml:space="preserve">O estudo foi duplo-cego, e os pacientes e pesquisadores estavam cegos quanto à alocação. A manutenção do cegamento reduz a probabilidade de desvios sistemáticos. Além disso, a análise foi por intenção de tratar (ITT), </w:t>
            </w:r>
            <w:r>
              <w:lastRenderedPageBreak/>
              <w:t>incluindo todos os pacientes randomizados.</w:t>
            </w:r>
          </w:p>
        </w:tc>
      </w:tr>
      <w:tr w:rsidR="00817793" w14:paraId="465AFAFC" w14:textId="77777777">
        <w:tc>
          <w:tcPr>
            <w:tcW w:w="1335" w:type="dxa"/>
            <w:tcBorders>
              <w:top w:val="nil"/>
              <w:left w:val="single" w:sz="6" w:space="0" w:color="000000"/>
              <w:bottom w:val="single" w:sz="6" w:space="0" w:color="000000"/>
              <w:right w:val="single" w:sz="6" w:space="0" w:color="000000"/>
            </w:tcBorders>
            <w:shd w:val="clear" w:color="auto" w:fill="auto"/>
          </w:tcPr>
          <w:p w14:paraId="1DE8FEB0" w14:textId="77777777" w:rsidR="00817793" w:rsidRDefault="002719FC">
            <w:pPr>
              <w:spacing w:before="120" w:after="120"/>
              <w:jc w:val="center"/>
              <w:rPr>
                <w:rFonts w:ascii="Quattrocento Sans" w:eastAsia="Quattrocento Sans" w:hAnsi="Quattrocento Sans" w:cs="Quattrocento Sans"/>
                <w:sz w:val="20"/>
                <w:szCs w:val="20"/>
              </w:rPr>
            </w:pPr>
            <w:r>
              <w:rPr>
                <w:sz w:val="20"/>
                <w:szCs w:val="20"/>
              </w:rPr>
              <w:lastRenderedPageBreak/>
              <w:t xml:space="preserve">Viés devido aos dados incompletos </w:t>
            </w:r>
            <w:r>
              <w:rPr>
                <w:sz w:val="20"/>
                <w:szCs w:val="20"/>
              </w:rPr>
              <w:lastRenderedPageBreak/>
              <w:t>dos desfechos - SRI-4</w:t>
            </w:r>
          </w:p>
        </w:tc>
        <w:tc>
          <w:tcPr>
            <w:tcW w:w="2565" w:type="dxa"/>
            <w:tcBorders>
              <w:top w:val="nil"/>
              <w:left w:val="nil"/>
              <w:bottom w:val="single" w:sz="6" w:space="0" w:color="000000"/>
              <w:right w:val="single" w:sz="6" w:space="0" w:color="000000"/>
            </w:tcBorders>
            <w:shd w:val="clear" w:color="auto" w:fill="auto"/>
          </w:tcPr>
          <w:p w14:paraId="3B7E1DA4" w14:textId="77777777" w:rsidR="00817793" w:rsidRDefault="002719FC">
            <w:pPr>
              <w:spacing w:before="120" w:after="120"/>
              <w:jc w:val="center"/>
            </w:pPr>
            <w:r>
              <w:lastRenderedPageBreak/>
              <w:t xml:space="preserve">Baixo risco de viés </w:t>
            </w:r>
          </w:p>
          <w:p w14:paraId="1954FA0B" w14:textId="77777777" w:rsidR="00817793" w:rsidRDefault="002719FC">
            <w:pPr>
              <w:spacing w:before="120" w:after="120"/>
              <w:jc w:val="center"/>
            </w:pPr>
            <w:r>
              <w:lastRenderedPageBreak/>
              <w:t>A análise primária foi realizada seguindo o princípio da intenção de tratar modificada (todos os pacientes randomizados que receberam pelo menos uma dose do tratamento)</w:t>
            </w:r>
          </w:p>
        </w:tc>
        <w:tc>
          <w:tcPr>
            <w:tcW w:w="2565" w:type="dxa"/>
            <w:tcBorders>
              <w:top w:val="nil"/>
              <w:left w:val="nil"/>
              <w:bottom w:val="single" w:sz="6" w:space="0" w:color="000000"/>
              <w:right w:val="single" w:sz="6" w:space="0" w:color="000000"/>
            </w:tcBorders>
            <w:shd w:val="clear" w:color="auto" w:fill="auto"/>
          </w:tcPr>
          <w:p w14:paraId="28C9ECA3" w14:textId="77777777" w:rsidR="00817793" w:rsidRDefault="002719FC">
            <w:pPr>
              <w:spacing w:before="120" w:after="120"/>
              <w:jc w:val="center"/>
            </w:pPr>
            <w:r>
              <w:lastRenderedPageBreak/>
              <w:t>x</w:t>
            </w:r>
          </w:p>
          <w:p w14:paraId="269E314A" w14:textId="77777777" w:rsidR="00817793" w:rsidRDefault="00817793">
            <w:pPr>
              <w:spacing w:before="120" w:after="120"/>
              <w:jc w:val="center"/>
            </w:pPr>
          </w:p>
        </w:tc>
        <w:tc>
          <w:tcPr>
            <w:tcW w:w="2610" w:type="dxa"/>
            <w:tcBorders>
              <w:top w:val="nil"/>
              <w:left w:val="nil"/>
              <w:bottom w:val="single" w:sz="6" w:space="0" w:color="000000"/>
              <w:right w:val="single" w:sz="6" w:space="0" w:color="000000"/>
            </w:tcBorders>
            <w:shd w:val="clear" w:color="auto" w:fill="auto"/>
          </w:tcPr>
          <w:p w14:paraId="05E66662" w14:textId="77777777" w:rsidR="00817793" w:rsidRDefault="002719FC">
            <w:pPr>
              <w:spacing w:before="120" w:after="120"/>
              <w:jc w:val="center"/>
            </w:pPr>
            <w:r>
              <w:t>x</w:t>
            </w:r>
          </w:p>
        </w:tc>
      </w:tr>
      <w:tr w:rsidR="00817793" w14:paraId="69AAED77" w14:textId="77777777">
        <w:tc>
          <w:tcPr>
            <w:tcW w:w="1335" w:type="dxa"/>
            <w:tcBorders>
              <w:top w:val="nil"/>
              <w:left w:val="single" w:sz="6" w:space="0" w:color="000000"/>
              <w:bottom w:val="single" w:sz="6" w:space="0" w:color="000000"/>
              <w:right w:val="single" w:sz="6" w:space="0" w:color="000000"/>
            </w:tcBorders>
            <w:shd w:val="clear" w:color="auto" w:fill="auto"/>
          </w:tcPr>
          <w:p w14:paraId="76408C37" w14:textId="77777777" w:rsidR="00817793" w:rsidRDefault="002719FC">
            <w:pPr>
              <w:spacing w:before="120" w:after="120"/>
              <w:jc w:val="center"/>
              <w:rPr>
                <w:rFonts w:ascii="Quattrocento Sans" w:eastAsia="Quattrocento Sans" w:hAnsi="Quattrocento Sans" w:cs="Quattrocento Sans"/>
                <w:sz w:val="20"/>
                <w:szCs w:val="20"/>
              </w:rPr>
            </w:pPr>
            <w:r>
              <w:rPr>
                <w:sz w:val="20"/>
                <w:szCs w:val="20"/>
              </w:rPr>
              <w:t>Viés devido aos dados incompletos dos desfechos - BICLA</w:t>
            </w:r>
          </w:p>
        </w:tc>
        <w:tc>
          <w:tcPr>
            <w:tcW w:w="2565" w:type="dxa"/>
            <w:tcBorders>
              <w:top w:val="nil"/>
              <w:left w:val="nil"/>
              <w:bottom w:val="single" w:sz="6" w:space="0" w:color="000000"/>
              <w:right w:val="single" w:sz="6" w:space="0" w:color="000000"/>
            </w:tcBorders>
            <w:shd w:val="clear" w:color="auto" w:fill="auto"/>
          </w:tcPr>
          <w:p w14:paraId="4286356D" w14:textId="77777777" w:rsidR="00817793" w:rsidRDefault="002719FC">
            <w:pPr>
              <w:spacing w:before="120" w:after="120"/>
              <w:jc w:val="center"/>
            </w:pPr>
            <w:r>
              <w:t>Baixo risco de viés</w:t>
            </w:r>
          </w:p>
          <w:p w14:paraId="4B267532" w14:textId="3AC46D41" w:rsidR="00817793" w:rsidRDefault="002719FC">
            <w:pPr>
              <w:spacing w:before="120" w:after="120"/>
              <w:jc w:val="center"/>
            </w:pPr>
            <w:r>
              <w:t xml:space="preserve">As taxas de descontinuação foram semelhantes entre os grupos (36/180 [20%] no grupo </w:t>
            </w:r>
            <w:proofErr w:type="spellStart"/>
            <w:r>
              <w:t>anifrolumab</w:t>
            </w:r>
            <w:r w:rsidR="00020252">
              <w:t>e</w:t>
            </w:r>
            <w:proofErr w:type="spellEnd"/>
            <w:r>
              <w:t xml:space="preserve"> 300 mg e 38/184 [21%] no grupo placebo + terapia </w:t>
            </w:r>
            <w:proofErr w:type="gramStart"/>
            <w:r>
              <w:t>padrão(</w:t>
            </w:r>
            <w:proofErr w:type="gramEnd"/>
            <w:r>
              <w:t>*)).</w:t>
            </w:r>
          </w:p>
        </w:tc>
        <w:tc>
          <w:tcPr>
            <w:tcW w:w="2565" w:type="dxa"/>
            <w:tcBorders>
              <w:top w:val="nil"/>
              <w:left w:val="nil"/>
              <w:bottom w:val="single" w:sz="6" w:space="0" w:color="000000"/>
              <w:right w:val="single" w:sz="6" w:space="0" w:color="000000"/>
            </w:tcBorders>
            <w:shd w:val="clear" w:color="auto" w:fill="auto"/>
          </w:tcPr>
          <w:p w14:paraId="7DE9110D" w14:textId="77777777" w:rsidR="00817793" w:rsidRDefault="002719FC">
            <w:pPr>
              <w:spacing w:before="120" w:after="120"/>
              <w:jc w:val="center"/>
            </w:pPr>
            <w:r>
              <w:t>Algumas preocupações</w:t>
            </w:r>
          </w:p>
          <w:p w14:paraId="01E06746" w14:textId="72EE4B1C" w:rsidR="00817793" w:rsidRDefault="002719FC">
            <w:pPr>
              <w:spacing w:before="120" w:after="120"/>
              <w:jc w:val="center"/>
            </w:pPr>
            <w:r>
              <w:t xml:space="preserve">A taxa de descontinuação foi maior no grupo placebo + terapia </w:t>
            </w:r>
            <w:proofErr w:type="gramStart"/>
            <w:r>
              <w:t>padrão(</w:t>
            </w:r>
            <w:proofErr w:type="gramEnd"/>
            <w:r>
              <w:t xml:space="preserve">*) (28,6%) em comparação ao grupo </w:t>
            </w:r>
            <w:proofErr w:type="spellStart"/>
            <w:r>
              <w:t>anifrolumab</w:t>
            </w:r>
            <w:r w:rsidR="00020252">
              <w:t>e</w:t>
            </w:r>
            <w:proofErr w:type="spellEnd"/>
            <w:r>
              <w:t xml:space="preserve"> (15,0%), o que pode introduzir viés, especialmente se os pacientes que descontinuaram apresentavam características diferentes.</w:t>
            </w:r>
          </w:p>
          <w:p w14:paraId="0A96A595" w14:textId="77777777" w:rsidR="00817793" w:rsidRDefault="002719FC">
            <w:pPr>
              <w:spacing w:before="120" w:after="120"/>
              <w:jc w:val="center"/>
            </w:pPr>
            <w:r>
              <w:t xml:space="preserve">Pacientes que descontinuaram o tratamento foram classificados como não respondedores para os desfechos primário e secundários principais, o </w:t>
            </w:r>
            <w:r>
              <w:lastRenderedPageBreak/>
              <w:t>que pode superestimar o efeito do tratamento.</w:t>
            </w:r>
          </w:p>
          <w:p w14:paraId="04C995E5" w14:textId="77777777" w:rsidR="00817793" w:rsidRDefault="002719FC">
            <w:pPr>
              <w:spacing w:before="120" w:after="120"/>
              <w:jc w:val="center"/>
            </w:pPr>
            <w:r>
              <w:t>Para dados faltantes intermitentes, foi utilizada imputação por "última observação carregada para frente" (LOCF) para uma visita perdida e imputação como não resposta para múltiplas visitas consecutivas perdidas.</w:t>
            </w:r>
          </w:p>
        </w:tc>
        <w:tc>
          <w:tcPr>
            <w:tcW w:w="2610" w:type="dxa"/>
            <w:tcBorders>
              <w:top w:val="nil"/>
              <w:left w:val="nil"/>
              <w:bottom w:val="single" w:sz="6" w:space="0" w:color="000000"/>
              <w:right w:val="single" w:sz="6" w:space="0" w:color="000000"/>
            </w:tcBorders>
            <w:shd w:val="clear" w:color="auto" w:fill="auto"/>
          </w:tcPr>
          <w:p w14:paraId="43297084" w14:textId="77777777" w:rsidR="00817793" w:rsidRDefault="002719FC">
            <w:pPr>
              <w:spacing w:before="120" w:after="120"/>
              <w:jc w:val="center"/>
            </w:pPr>
            <w:r>
              <w:lastRenderedPageBreak/>
              <w:t>x</w:t>
            </w:r>
          </w:p>
        </w:tc>
      </w:tr>
      <w:tr w:rsidR="00817793" w14:paraId="3B41C5A6" w14:textId="77777777">
        <w:tc>
          <w:tcPr>
            <w:tcW w:w="1335" w:type="dxa"/>
            <w:tcBorders>
              <w:top w:val="nil"/>
              <w:left w:val="single" w:sz="6" w:space="0" w:color="000000"/>
              <w:bottom w:val="single" w:sz="6" w:space="0" w:color="000000"/>
              <w:right w:val="single" w:sz="6" w:space="0" w:color="000000"/>
            </w:tcBorders>
            <w:shd w:val="clear" w:color="auto" w:fill="auto"/>
          </w:tcPr>
          <w:p w14:paraId="55E94A0F" w14:textId="77777777" w:rsidR="00817793" w:rsidRDefault="002719FC">
            <w:pPr>
              <w:spacing w:before="120" w:after="120"/>
              <w:jc w:val="center"/>
              <w:rPr>
                <w:rFonts w:ascii="Quattrocento Sans" w:eastAsia="Quattrocento Sans" w:hAnsi="Quattrocento Sans" w:cs="Quattrocento Sans"/>
                <w:sz w:val="20"/>
                <w:szCs w:val="20"/>
              </w:rPr>
            </w:pPr>
            <w:r>
              <w:rPr>
                <w:sz w:val="20"/>
                <w:szCs w:val="20"/>
              </w:rPr>
              <w:t>Viés devido aos dados incompletos dos desfechos - EA graves</w:t>
            </w:r>
          </w:p>
        </w:tc>
        <w:tc>
          <w:tcPr>
            <w:tcW w:w="2565" w:type="dxa"/>
            <w:tcBorders>
              <w:top w:val="nil"/>
              <w:left w:val="nil"/>
              <w:bottom w:val="single" w:sz="6" w:space="0" w:color="000000"/>
              <w:right w:val="single" w:sz="6" w:space="0" w:color="000000"/>
            </w:tcBorders>
            <w:shd w:val="clear" w:color="auto" w:fill="auto"/>
          </w:tcPr>
          <w:p w14:paraId="1FA99EED" w14:textId="77777777" w:rsidR="00817793" w:rsidRDefault="002719FC">
            <w:pPr>
              <w:spacing w:before="120" w:after="120"/>
              <w:jc w:val="center"/>
            </w:pPr>
            <w:r>
              <w:t>Baixo risco de viés</w:t>
            </w:r>
          </w:p>
          <w:p w14:paraId="1C7B9675" w14:textId="31513753" w:rsidR="00817793" w:rsidRDefault="002719FC">
            <w:pPr>
              <w:spacing w:before="120" w:after="120"/>
              <w:jc w:val="center"/>
            </w:pPr>
            <w:r>
              <w:t xml:space="preserve">As taxas de descontinuação foram semelhantes entre os grupos (36/180 [20%] no grupo </w:t>
            </w:r>
            <w:proofErr w:type="spellStart"/>
            <w:r>
              <w:t>anifrolumab</w:t>
            </w:r>
            <w:r w:rsidR="00020252">
              <w:t>e</w:t>
            </w:r>
            <w:proofErr w:type="spellEnd"/>
            <w:r>
              <w:t xml:space="preserve"> 300 mg e 38/184 [21%] no grupo placebo + terapia </w:t>
            </w:r>
            <w:proofErr w:type="gramStart"/>
            <w:r>
              <w:t>padrão(</w:t>
            </w:r>
            <w:proofErr w:type="gramEnd"/>
            <w:r>
              <w:t>*)).</w:t>
            </w:r>
          </w:p>
        </w:tc>
        <w:tc>
          <w:tcPr>
            <w:tcW w:w="2565" w:type="dxa"/>
            <w:tcBorders>
              <w:top w:val="nil"/>
              <w:left w:val="nil"/>
              <w:bottom w:val="single" w:sz="6" w:space="0" w:color="000000"/>
              <w:right w:val="single" w:sz="6" w:space="0" w:color="000000"/>
            </w:tcBorders>
            <w:shd w:val="clear" w:color="auto" w:fill="auto"/>
          </w:tcPr>
          <w:p w14:paraId="16E0D400" w14:textId="77777777" w:rsidR="00817793" w:rsidRDefault="002719FC">
            <w:pPr>
              <w:spacing w:before="120" w:after="120"/>
              <w:jc w:val="center"/>
            </w:pPr>
            <w:r>
              <w:t>Algumas preocupações</w:t>
            </w:r>
          </w:p>
          <w:p w14:paraId="3A0BDA3F" w14:textId="1CA028AA" w:rsidR="00817793" w:rsidRDefault="002719FC">
            <w:pPr>
              <w:spacing w:before="120" w:after="120"/>
              <w:jc w:val="center"/>
            </w:pPr>
            <w:r>
              <w:t xml:space="preserve">A taxa de descontinuação foi maior no grupo placebo + terapia </w:t>
            </w:r>
            <w:proofErr w:type="gramStart"/>
            <w:r>
              <w:t>padrão(</w:t>
            </w:r>
            <w:proofErr w:type="gramEnd"/>
            <w:r>
              <w:t xml:space="preserve">*) (28,6%) em comparação ao grupo </w:t>
            </w:r>
            <w:proofErr w:type="spellStart"/>
            <w:r>
              <w:t>anifrolumab</w:t>
            </w:r>
            <w:r w:rsidR="00020252">
              <w:t>e</w:t>
            </w:r>
            <w:proofErr w:type="spellEnd"/>
            <w:r>
              <w:t xml:space="preserve"> (15,0%), o que pode introduzir viés, especialmente se os pacientes que descontinuaram apresentavam características diferentes.</w:t>
            </w:r>
          </w:p>
          <w:p w14:paraId="4B2ECB9F" w14:textId="77777777" w:rsidR="00817793" w:rsidRDefault="002719FC">
            <w:pPr>
              <w:spacing w:before="120" w:after="120"/>
              <w:jc w:val="center"/>
            </w:pPr>
            <w:r>
              <w:t xml:space="preserve">Pacientes que descontinuaram o tratamento foram classificados como não </w:t>
            </w:r>
            <w:r>
              <w:lastRenderedPageBreak/>
              <w:t>respondedores para os desfechos primário e secundários principais, o que pode superestimar o efeito do tratamento.</w:t>
            </w:r>
          </w:p>
          <w:p w14:paraId="354A57C0" w14:textId="77777777" w:rsidR="00817793" w:rsidRDefault="002719FC">
            <w:pPr>
              <w:spacing w:before="120" w:after="120"/>
              <w:jc w:val="center"/>
            </w:pPr>
            <w:r>
              <w:t>Para dados faltantes intermitentes, foi utilizada imputação por "última observação carregada para frente" (LOCF) para uma visita perdida e imputação como não resposta para múltiplas visitas consecutivas perdidas.</w:t>
            </w:r>
          </w:p>
        </w:tc>
        <w:tc>
          <w:tcPr>
            <w:tcW w:w="2610" w:type="dxa"/>
            <w:tcBorders>
              <w:top w:val="nil"/>
              <w:left w:val="nil"/>
              <w:bottom w:val="single" w:sz="6" w:space="0" w:color="000000"/>
              <w:right w:val="single" w:sz="6" w:space="0" w:color="000000"/>
            </w:tcBorders>
            <w:shd w:val="clear" w:color="auto" w:fill="auto"/>
          </w:tcPr>
          <w:p w14:paraId="07F72B16" w14:textId="77777777" w:rsidR="00817793" w:rsidRDefault="002719FC">
            <w:pPr>
              <w:spacing w:before="120" w:after="120"/>
              <w:jc w:val="center"/>
            </w:pPr>
            <w:r>
              <w:lastRenderedPageBreak/>
              <w:t>Baixo risco de viés</w:t>
            </w:r>
          </w:p>
          <w:p w14:paraId="53EBB51C" w14:textId="4744B143" w:rsidR="00817793" w:rsidRDefault="002719FC">
            <w:pPr>
              <w:spacing w:before="120" w:after="120"/>
              <w:jc w:val="center"/>
            </w:pPr>
            <w:r>
              <w:t xml:space="preserve">Houve perda de pacientes durante o estudo (48,2% no grupo placebo + terapia </w:t>
            </w:r>
            <w:proofErr w:type="gramStart"/>
            <w:r>
              <w:t>padrão(</w:t>
            </w:r>
            <w:proofErr w:type="gramEnd"/>
            <w:r>
              <w:t xml:space="preserve">*) e 69,3% no grupo </w:t>
            </w:r>
            <w:proofErr w:type="spellStart"/>
            <w:r>
              <w:t>anifrolumab</w:t>
            </w:r>
            <w:r w:rsidR="00020252">
              <w:t>e</w:t>
            </w:r>
            <w:proofErr w:type="spellEnd"/>
            <w:r>
              <w:t>), o que pode impactar o desfecho. No entanto, os eventos adversos foram ajustados pela exposição (</w:t>
            </w:r>
            <w:proofErr w:type="spellStart"/>
            <w:r>
              <w:t>EAIRs</w:t>
            </w:r>
            <w:proofErr w:type="spellEnd"/>
            <w:r>
              <w:t>), o que reduz o impacto da perda de dados, mas não elimina completamente o risco. Além disso, a análise foi por ITT.</w:t>
            </w:r>
          </w:p>
        </w:tc>
      </w:tr>
      <w:tr w:rsidR="00817793" w14:paraId="22A1609E" w14:textId="77777777">
        <w:tc>
          <w:tcPr>
            <w:tcW w:w="1335" w:type="dxa"/>
            <w:tcBorders>
              <w:top w:val="nil"/>
              <w:left w:val="single" w:sz="6" w:space="0" w:color="000000"/>
              <w:bottom w:val="single" w:sz="6" w:space="0" w:color="000000"/>
              <w:right w:val="single" w:sz="6" w:space="0" w:color="000000"/>
            </w:tcBorders>
            <w:shd w:val="clear" w:color="auto" w:fill="auto"/>
          </w:tcPr>
          <w:p w14:paraId="668D92DB" w14:textId="77777777" w:rsidR="00817793" w:rsidRDefault="002719FC">
            <w:pPr>
              <w:spacing w:before="120" w:after="120"/>
              <w:jc w:val="center"/>
              <w:rPr>
                <w:sz w:val="20"/>
                <w:szCs w:val="20"/>
              </w:rPr>
            </w:pPr>
            <w:r>
              <w:rPr>
                <w:sz w:val="20"/>
                <w:szCs w:val="20"/>
              </w:rPr>
              <w:t xml:space="preserve">Viés devido aos dados incompletos dos desfechos - Redução de </w:t>
            </w:r>
            <w:proofErr w:type="spellStart"/>
            <w:r>
              <w:rPr>
                <w:sz w:val="20"/>
                <w:szCs w:val="20"/>
              </w:rPr>
              <w:t>corticosteróides</w:t>
            </w:r>
            <w:proofErr w:type="spellEnd"/>
          </w:p>
        </w:tc>
        <w:tc>
          <w:tcPr>
            <w:tcW w:w="2565" w:type="dxa"/>
            <w:tcBorders>
              <w:top w:val="nil"/>
              <w:left w:val="nil"/>
              <w:bottom w:val="single" w:sz="6" w:space="0" w:color="000000"/>
              <w:right w:val="single" w:sz="6" w:space="0" w:color="000000"/>
            </w:tcBorders>
            <w:shd w:val="clear" w:color="auto" w:fill="auto"/>
          </w:tcPr>
          <w:p w14:paraId="3038E5ED" w14:textId="77777777" w:rsidR="00817793" w:rsidRDefault="002719FC">
            <w:pPr>
              <w:spacing w:before="120" w:after="120"/>
              <w:jc w:val="center"/>
            </w:pPr>
            <w:r>
              <w:t>Baixo risco de viés</w:t>
            </w:r>
          </w:p>
          <w:p w14:paraId="340BE543" w14:textId="13C438C8" w:rsidR="00817793" w:rsidRDefault="002719FC">
            <w:pPr>
              <w:spacing w:before="120" w:after="120"/>
              <w:jc w:val="center"/>
            </w:pPr>
            <w:r>
              <w:t xml:space="preserve">As taxas de descontinuação foram semelhantes entre os grupos (36/180 [20%] no grupo </w:t>
            </w:r>
            <w:proofErr w:type="spellStart"/>
            <w:r>
              <w:t>anifrolumab</w:t>
            </w:r>
            <w:r w:rsidR="00020252">
              <w:t>e</w:t>
            </w:r>
            <w:proofErr w:type="spellEnd"/>
            <w:r>
              <w:t xml:space="preserve"> 300 mg e 38/184 [21%] no grupo placebo + terapia </w:t>
            </w:r>
            <w:proofErr w:type="gramStart"/>
            <w:r>
              <w:t>padrão(</w:t>
            </w:r>
            <w:proofErr w:type="gramEnd"/>
            <w:r>
              <w:t>*)).</w:t>
            </w:r>
          </w:p>
        </w:tc>
        <w:tc>
          <w:tcPr>
            <w:tcW w:w="2565" w:type="dxa"/>
            <w:tcBorders>
              <w:top w:val="nil"/>
              <w:left w:val="nil"/>
              <w:bottom w:val="single" w:sz="6" w:space="0" w:color="000000"/>
              <w:right w:val="single" w:sz="6" w:space="0" w:color="000000"/>
            </w:tcBorders>
            <w:shd w:val="clear" w:color="auto" w:fill="auto"/>
          </w:tcPr>
          <w:p w14:paraId="08760B56" w14:textId="77777777" w:rsidR="00817793" w:rsidRDefault="002719FC">
            <w:pPr>
              <w:spacing w:before="120" w:after="120"/>
              <w:jc w:val="center"/>
            </w:pPr>
            <w:r>
              <w:t>Algumas preocupações</w:t>
            </w:r>
          </w:p>
          <w:p w14:paraId="6BEEBD0D" w14:textId="69C30B06" w:rsidR="00817793" w:rsidRDefault="002719FC">
            <w:pPr>
              <w:spacing w:before="120" w:after="120"/>
              <w:jc w:val="center"/>
            </w:pPr>
            <w:r>
              <w:t xml:space="preserve">A taxa de descontinuação foi maior no grupo placebo + terapia </w:t>
            </w:r>
            <w:proofErr w:type="gramStart"/>
            <w:r>
              <w:t>padrão(</w:t>
            </w:r>
            <w:proofErr w:type="gramEnd"/>
            <w:r>
              <w:t xml:space="preserve">*) (28,6%) em comparação ao grupo </w:t>
            </w:r>
            <w:proofErr w:type="spellStart"/>
            <w:r>
              <w:t>anifrolumab</w:t>
            </w:r>
            <w:r w:rsidR="00020252">
              <w:t>e</w:t>
            </w:r>
            <w:proofErr w:type="spellEnd"/>
            <w:r>
              <w:t xml:space="preserve"> (15,0%), o que pode introduzir viés, especialmente se os pacientes que descontinuaram apresentavam características diferentes.</w:t>
            </w:r>
          </w:p>
          <w:p w14:paraId="0AEF8076" w14:textId="77777777" w:rsidR="00817793" w:rsidRDefault="002719FC">
            <w:pPr>
              <w:spacing w:before="120" w:after="120"/>
              <w:jc w:val="center"/>
            </w:pPr>
            <w:r>
              <w:lastRenderedPageBreak/>
              <w:t>Pacientes que descontinuaram o tratamento foram classificados como não respondedores para os desfechos primário e secundários principais, o que pode superestimar o efeito do tratamento.</w:t>
            </w:r>
          </w:p>
          <w:p w14:paraId="62A0A1B5" w14:textId="77777777" w:rsidR="00817793" w:rsidRDefault="002719FC">
            <w:pPr>
              <w:spacing w:before="120" w:after="120"/>
              <w:jc w:val="center"/>
            </w:pPr>
            <w:r>
              <w:t>Para dados faltantes intermitentes, foi utilizada imputação por "última observação carregada para frente" (LOCF) para uma visita perdida e imputação como não resposta para múltiplas visitas consecutivas perdidas.</w:t>
            </w:r>
          </w:p>
        </w:tc>
        <w:tc>
          <w:tcPr>
            <w:tcW w:w="2610" w:type="dxa"/>
            <w:tcBorders>
              <w:top w:val="nil"/>
              <w:left w:val="nil"/>
              <w:bottom w:val="single" w:sz="6" w:space="0" w:color="000000"/>
              <w:right w:val="single" w:sz="6" w:space="0" w:color="000000"/>
            </w:tcBorders>
            <w:shd w:val="clear" w:color="auto" w:fill="auto"/>
          </w:tcPr>
          <w:p w14:paraId="45BA2F75" w14:textId="77777777" w:rsidR="00817793" w:rsidRDefault="002719FC">
            <w:pPr>
              <w:spacing w:before="120" w:after="120"/>
              <w:jc w:val="center"/>
            </w:pPr>
            <w:r>
              <w:lastRenderedPageBreak/>
              <w:t>Baixo risco de viés</w:t>
            </w:r>
          </w:p>
          <w:p w14:paraId="3119FBA6" w14:textId="77777777" w:rsidR="00817793" w:rsidRDefault="002719FC">
            <w:pPr>
              <w:spacing w:before="120" w:after="120"/>
              <w:jc w:val="center"/>
            </w:pPr>
            <w:r>
              <w:t>A análise foi por intenção de tratar (ITT) incluindo todos os pacientes randomizados.</w:t>
            </w:r>
          </w:p>
        </w:tc>
      </w:tr>
      <w:tr w:rsidR="00817793" w14:paraId="4857EC22" w14:textId="77777777">
        <w:tc>
          <w:tcPr>
            <w:tcW w:w="1335" w:type="dxa"/>
            <w:tcBorders>
              <w:top w:val="nil"/>
              <w:left w:val="single" w:sz="6" w:space="0" w:color="000000"/>
              <w:bottom w:val="single" w:sz="6" w:space="0" w:color="000000"/>
              <w:right w:val="single" w:sz="6" w:space="0" w:color="000000"/>
            </w:tcBorders>
            <w:shd w:val="clear" w:color="auto" w:fill="auto"/>
          </w:tcPr>
          <w:p w14:paraId="479564F1" w14:textId="77777777" w:rsidR="00817793" w:rsidRDefault="002719FC">
            <w:pPr>
              <w:spacing w:before="120" w:after="120"/>
              <w:jc w:val="center"/>
              <w:rPr>
                <w:sz w:val="20"/>
                <w:szCs w:val="20"/>
              </w:rPr>
            </w:pPr>
            <w:r>
              <w:rPr>
                <w:sz w:val="20"/>
                <w:szCs w:val="20"/>
              </w:rPr>
              <w:t>Viés devido aos dados incompletos dos desfechos - CLASI</w:t>
            </w:r>
          </w:p>
        </w:tc>
        <w:tc>
          <w:tcPr>
            <w:tcW w:w="2565" w:type="dxa"/>
            <w:tcBorders>
              <w:top w:val="nil"/>
              <w:left w:val="nil"/>
              <w:bottom w:val="single" w:sz="6" w:space="0" w:color="000000"/>
              <w:right w:val="single" w:sz="6" w:space="0" w:color="000000"/>
            </w:tcBorders>
            <w:shd w:val="clear" w:color="auto" w:fill="auto"/>
          </w:tcPr>
          <w:p w14:paraId="29055C00" w14:textId="77777777" w:rsidR="00817793" w:rsidRDefault="002719FC">
            <w:pPr>
              <w:spacing w:before="120" w:after="120"/>
              <w:jc w:val="center"/>
            </w:pPr>
            <w:r>
              <w:t>Baixo risco de viés</w:t>
            </w:r>
          </w:p>
          <w:p w14:paraId="7BAC1590" w14:textId="7A8AD21F" w:rsidR="00817793" w:rsidRDefault="002719FC">
            <w:pPr>
              <w:spacing w:before="120" w:after="120"/>
              <w:jc w:val="center"/>
            </w:pPr>
            <w:r>
              <w:t xml:space="preserve">As taxas de descontinuação foram semelhantes entre os grupos (36/180 [20%] no grupo </w:t>
            </w:r>
            <w:proofErr w:type="spellStart"/>
            <w:r>
              <w:t>anifrolumab</w:t>
            </w:r>
            <w:r w:rsidR="00020252">
              <w:t>e</w:t>
            </w:r>
            <w:proofErr w:type="spellEnd"/>
            <w:r>
              <w:t xml:space="preserve"> 300 mg e 38/184 [21%] no grupo placebo + terapia </w:t>
            </w:r>
            <w:proofErr w:type="gramStart"/>
            <w:r>
              <w:t>padrão(</w:t>
            </w:r>
            <w:proofErr w:type="gramEnd"/>
            <w:r>
              <w:t>*)).</w:t>
            </w:r>
          </w:p>
        </w:tc>
        <w:tc>
          <w:tcPr>
            <w:tcW w:w="2565" w:type="dxa"/>
            <w:tcBorders>
              <w:top w:val="nil"/>
              <w:left w:val="nil"/>
              <w:bottom w:val="single" w:sz="6" w:space="0" w:color="000000"/>
              <w:right w:val="single" w:sz="6" w:space="0" w:color="000000"/>
            </w:tcBorders>
            <w:shd w:val="clear" w:color="auto" w:fill="auto"/>
          </w:tcPr>
          <w:p w14:paraId="32CD9CDE" w14:textId="77777777" w:rsidR="00817793" w:rsidRDefault="002719FC">
            <w:pPr>
              <w:spacing w:before="120" w:after="120"/>
              <w:jc w:val="center"/>
            </w:pPr>
            <w:r>
              <w:t>Algumas preocupações</w:t>
            </w:r>
          </w:p>
          <w:p w14:paraId="2C286FE3" w14:textId="3AABF383" w:rsidR="00817793" w:rsidRDefault="002719FC">
            <w:pPr>
              <w:spacing w:before="120" w:after="120"/>
              <w:jc w:val="center"/>
            </w:pPr>
            <w:r>
              <w:t xml:space="preserve">A taxa de descontinuação foi maior no grupo placebo + terapia </w:t>
            </w:r>
            <w:proofErr w:type="gramStart"/>
            <w:r>
              <w:t>padrão(</w:t>
            </w:r>
            <w:proofErr w:type="gramEnd"/>
            <w:r>
              <w:t xml:space="preserve">*) (28,6%) em comparação ao grupo </w:t>
            </w:r>
            <w:proofErr w:type="spellStart"/>
            <w:r>
              <w:t>anifrolumab</w:t>
            </w:r>
            <w:r w:rsidR="00020252">
              <w:t>e</w:t>
            </w:r>
            <w:proofErr w:type="spellEnd"/>
            <w:r>
              <w:t xml:space="preserve"> (15,0%), o que pode introduzir viés, especialmente se os pacientes que descontinuaram </w:t>
            </w:r>
            <w:r>
              <w:lastRenderedPageBreak/>
              <w:t>apresentavam características diferentes.</w:t>
            </w:r>
          </w:p>
          <w:p w14:paraId="3EC51FC6" w14:textId="77777777" w:rsidR="00817793" w:rsidRDefault="002719FC">
            <w:pPr>
              <w:spacing w:before="120" w:after="120"/>
              <w:jc w:val="center"/>
            </w:pPr>
            <w:r>
              <w:t>Pacientes que descontinuaram o tratamento foram classificados como não respondedores para os desfechos primário e secundários principais, o que pode superestimar o efeito do tratamento.</w:t>
            </w:r>
          </w:p>
          <w:p w14:paraId="731DEE7F" w14:textId="77777777" w:rsidR="00817793" w:rsidRDefault="002719FC">
            <w:pPr>
              <w:spacing w:before="120" w:after="120"/>
              <w:jc w:val="center"/>
            </w:pPr>
            <w:r>
              <w:t>Para dados faltantes intermitentes, foi utilizada imputação por "última observação carregada para frente" (LOCF) para uma visita perdida e imputação como não resposta para múltiplas visitas consecutivas perdidas.</w:t>
            </w:r>
          </w:p>
        </w:tc>
        <w:tc>
          <w:tcPr>
            <w:tcW w:w="2610" w:type="dxa"/>
            <w:tcBorders>
              <w:top w:val="nil"/>
              <w:left w:val="nil"/>
              <w:bottom w:val="single" w:sz="6" w:space="0" w:color="000000"/>
              <w:right w:val="single" w:sz="6" w:space="0" w:color="000000"/>
            </w:tcBorders>
            <w:shd w:val="clear" w:color="auto" w:fill="auto"/>
          </w:tcPr>
          <w:p w14:paraId="43BF0DDE" w14:textId="77777777" w:rsidR="00817793" w:rsidRDefault="002719FC">
            <w:pPr>
              <w:spacing w:before="120" w:after="120"/>
              <w:jc w:val="center"/>
            </w:pPr>
            <w:r>
              <w:lastRenderedPageBreak/>
              <w:t>x</w:t>
            </w:r>
          </w:p>
        </w:tc>
      </w:tr>
      <w:tr w:rsidR="00817793" w14:paraId="7DFF1620" w14:textId="77777777">
        <w:tc>
          <w:tcPr>
            <w:tcW w:w="1335" w:type="dxa"/>
            <w:tcBorders>
              <w:top w:val="nil"/>
              <w:left w:val="single" w:sz="6" w:space="0" w:color="000000"/>
              <w:bottom w:val="single" w:sz="6" w:space="0" w:color="000000"/>
              <w:right w:val="single" w:sz="6" w:space="0" w:color="000000"/>
            </w:tcBorders>
            <w:shd w:val="clear" w:color="auto" w:fill="auto"/>
          </w:tcPr>
          <w:p w14:paraId="27841393" w14:textId="77777777" w:rsidR="00817793" w:rsidRDefault="002719FC">
            <w:pPr>
              <w:spacing w:before="120" w:after="120"/>
              <w:jc w:val="center"/>
              <w:rPr>
                <w:sz w:val="20"/>
                <w:szCs w:val="20"/>
              </w:rPr>
            </w:pPr>
            <w:r>
              <w:rPr>
                <w:sz w:val="20"/>
                <w:szCs w:val="20"/>
              </w:rPr>
              <w:t>Viés devido aos dados incompletos dos desfechos - SLEDAI-2K</w:t>
            </w:r>
          </w:p>
        </w:tc>
        <w:tc>
          <w:tcPr>
            <w:tcW w:w="2565" w:type="dxa"/>
            <w:tcBorders>
              <w:top w:val="nil"/>
              <w:left w:val="nil"/>
              <w:bottom w:val="single" w:sz="6" w:space="0" w:color="000000"/>
              <w:right w:val="single" w:sz="6" w:space="0" w:color="000000"/>
            </w:tcBorders>
            <w:shd w:val="clear" w:color="auto" w:fill="auto"/>
          </w:tcPr>
          <w:p w14:paraId="0B9C7192" w14:textId="77777777" w:rsidR="00817793" w:rsidRDefault="002719FC">
            <w:pPr>
              <w:spacing w:before="120" w:after="120"/>
              <w:jc w:val="center"/>
            </w:pPr>
            <w:r>
              <w:t>x.</w:t>
            </w:r>
          </w:p>
        </w:tc>
        <w:tc>
          <w:tcPr>
            <w:tcW w:w="2565" w:type="dxa"/>
            <w:tcBorders>
              <w:top w:val="nil"/>
              <w:left w:val="nil"/>
              <w:bottom w:val="single" w:sz="6" w:space="0" w:color="000000"/>
              <w:right w:val="single" w:sz="6" w:space="0" w:color="000000"/>
            </w:tcBorders>
            <w:shd w:val="clear" w:color="auto" w:fill="auto"/>
          </w:tcPr>
          <w:p w14:paraId="7BA43DEA" w14:textId="77777777" w:rsidR="00817793" w:rsidRDefault="002719FC">
            <w:pPr>
              <w:spacing w:before="120" w:after="120"/>
              <w:jc w:val="center"/>
            </w:pPr>
            <w:r>
              <w:t>x</w:t>
            </w:r>
          </w:p>
        </w:tc>
        <w:tc>
          <w:tcPr>
            <w:tcW w:w="2610" w:type="dxa"/>
            <w:tcBorders>
              <w:top w:val="nil"/>
              <w:left w:val="nil"/>
              <w:bottom w:val="single" w:sz="6" w:space="0" w:color="000000"/>
              <w:right w:val="single" w:sz="6" w:space="0" w:color="000000"/>
            </w:tcBorders>
            <w:shd w:val="clear" w:color="auto" w:fill="auto"/>
          </w:tcPr>
          <w:p w14:paraId="0DC0E1FD" w14:textId="77777777" w:rsidR="00817793" w:rsidRDefault="002719FC">
            <w:pPr>
              <w:spacing w:before="120" w:after="120"/>
              <w:jc w:val="center"/>
            </w:pPr>
            <w:r>
              <w:t>Baixo risco de viés</w:t>
            </w:r>
          </w:p>
          <w:p w14:paraId="0D28BA4B" w14:textId="77777777" w:rsidR="00817793" w:rsidRDefault="002719FC">
            <w:pPr>
              <w:spacing w:before="120" w:after="120"/>
              <w:jc w:val="center"/>
            </w:pPr>
            <w:r>
              <w:t>A análise foi por intenção de tratar (ITT) incluindo todos os pacientes randomizados.</w:t>
            </w:r>
          </w:p>
        </w:tc>
      </w:tr>
      <w:tr w:rsidR="00817793" w14:paraId="264D1518" w14:textId="77777777">
        <w:tc>
          <w:tcPr>
            <w:tcW w:w="1335" w:type="dxa"/>
            <w:tcBorders>
              <w:top w:val="nil"/>
              <w:left w:val="single" w:sz="6" w:space="0" w:color="000000"/>
              <w:bottom w:val="single" w:sz="6" w:space="0" w:color="000000"/>
              <w:right w:val="single" w:sz="6" w:space="0" w:color="000000"/>
            </w:tcBorders>
            <w:shd w:val="clear" w:color="auto" w:fill="auto"/>
          </w:tcPr>
          <w:p w14:paraId="34204CF0" w14:textId="77777777" w:rsidR="00817793" w:rsidRDefault="002719FC">
            <w:pPr>
              <w:spacing w:before="120" w:after="120"/>
              <w:jc w:val="center"/>
              <w:rPr>
                <w:sz w:val="20"/>
                <w:szCs w:val="20"/>
              </w:rPr>
            </w:pPr>
            <w:r>
              <w:rPr>
                <w:sz w:val="20"/>
                <w:szCs w:val="20"/>
              </w:rPr>
              <w:t xml:space="preserve">Viés na mensuração </w:t>
            </w:r>
            <w:r>
              <w:rPr>
                <w:sz w:val="20"/>
                <w:szCs w:val="20"/>
              </w:rPr>
              <w:lastRenderedPageBreak/>
              <w:t>do desfecho - SRI-4</w:t>
            </w:r>
          </w:p>
        </w:tc>
        <w:tc>
          <w:tcPr>
            <w:tcW w:w="2565" w:type="dxa"/>
            <w:tcBorders>
              <w:top w:val="nil"/>
              <w:left w:val="nil"/>
              <w:bottom w:val="single" w:sz="6" w:space="0" w:color="000000"/>
              <w:right w:val="single" w:sz="6" w:space="0" w:color="000000"/>
            </w:tcBorders>
            <w:shd w:val="clear" w:color="auto" w:fill="auto"/>
          </w:tcPr>
          <w:p w14:paraId="6EC11C46" w14:textId="77777777" w:rsidR="00817793" w:rsidRDefault="002719FC">
            <w:pPr>
              <w:spacing w:before="120" w:after="120"/>
              <w:jc w:val="center"/>
            </w:pPr>
            <w:r>
              <w:lastRenderedPageBreak/>
              <w:t>Baixo risco de viés</w:t>
            </w:r>
          </w:p>
          <w:p w14:paraId="0F6D3CDE" w14:textId="71A9B2FE" w:rsidR="00817793" w:rsidRDefault="002719FC">
            <w:pPr>
              <w:spacing w:before="120" w:after="120"/>
              <w:jc w:val="center"/>
            </w:pPr>
            <w:r>
              <w:lastRenderedPageBreak/>
              <w:t>Os desfechos foram avaliados de forma padronizada e validada.</w:t>
            </w:r>
          </w:p>
          <w:p w14:paraId="6F0054E6" w14:textId="77777777" w:rsidR="00817793" w:rsidRDefault="002719FC">
            <w:pPr>
              <w:spacing w:before="120" w:after="120"/>
              <w:jc w:val="center"/>
            </w:pPr>
            <w:r>
              <w:t>O artigo menciona que "um grupo independente de revisão central avaliou as avaliações de atividade da doença, incluindo SLEDAI e BILAG".</w:t>
            </w:r>
          </w:p>
          <w:p w14:paraId="6DD98F5D" w14:textId="77777777" w:rsidR="00817793" w:rsidRDefault="002719FC">
            <w:pPr>
              <w:spacing w:before="120" w:after="120"/>
              <w:jc w:val="center"/>
            </w:pPr>
            <w:r>
              <w:t>O mascaramento foi mantido para pacientes, investigadores e avaliadores dos desfechos.</w:t>
            </w:r>
          </w:p>
        </w:tc>
        <w:tc>
          <w:tcPr>
            <w:tcW w:w="2565" w:type="dxa"/>
            <w:tcBorders>
              <w:top w:val="nil"/>
              <w:left w:val="nil"/>
              <w:bottom w:val="single" w:sz="6" w:space="0" w:color="000000"/>
              <w:right w:val="single" w:sz="6" w:space="0" w:color="000000"/>
            </w:tcBorders>
            <w:shd w:val="clear" w:color="auto" w:fill="auto"/>
          </w:tcPr>
          <w:p w14:paraId="61FBD35E" w14:textId="77777777" w:rsidR="00817793" w:rsidRDefault="002719FC">
            <w:pPr>
              <w:spacing w:before="120" w:after="120"/>
              <w:jc w:val="center"/>
            </w:pPr>
            <w:r>
              <w:lastRenderedPageBreak/>
              <w:t>x</w:t>
            </w:r>
          </w:p>
        </w:tc>
        <w:tc>
          <w:tcPr>
            <w:tcW w:w="2610" w:type="dxa"/>
            <w:tcBorders>
              <w:top w:val="nil"/>
              <w:left w:val="nil"/>
              <w:bottom w:val="single" w:sz="6" w:space="0" w:color="000000"/>
              <w:right w:val="single" w:sz="6" w:space="0" w:color="000000"/>
            </w:tcBorders>
            <w:shd w:val="clear" w:color="auto" w:fill="auto"/>
          </w:tcPr>
          <w:p w14:paraId="79186DCF" w14:textId="77777777" w:rsidR="00817793" w:rsidRDefault="002719FC">
            <w:pPr>
              <w:spacing w:before="120" w:after="120"/>
              <w:jc w:val="center"/>
            </w:pPr>
            <w:r>
              <w:t>x</w:t>
            </w:r>
          </w:p>
        </w:tc>
      </w:tr>
      <w:tr w:rsidR="00817793" w14:paraId="635CBE18" w14:textId="77777777">
        <w:tc>
          <w:tcPr>
            <w:tcW w:w="1335" w:type="dxa"/>
            <w:tcBorders>
              <w:top w:val="nil"/>
              <w:left w:val="single" w:sz="6" w:space="0" w:color="000000"/>
              <w:bottom w:val="single" w:sz="6" w:space="0" w:color="000000"/>
              <w:right w:val="single" w:sz="6" w:space="0" w:color="000000"/>
            </w:tcBorders>
            <w:shd w:val="clear" w:color="auto" w:fill="auto"/>
          </w:tcPr>
          <w:p w14:paraId="3436A918" w14:textId="77777777" w:rsidR="00817793" w:rsidRDefault="002719FC">
            <w:pPr>
              <w:spacing w:before="120" w:after="120"/>
              <w:jc w:val="center"/>
              <w:rPr>
                <w:rFonts w:ascii="Quattrocento Sans" w:eastAsia="Quattrocento Sans" w:hAnsi="Quattrocento Sans" w:cs="Quattrocento Sans"/>
                <w:i/>
                <w:sz w:val="20"/>
                <w:szCs w:val="20"/>
              </w:rPr>
            </w:pPr>
            <w:r>
              <w:rPr>
                <w:sz w:val="20"/>
                <w:szCs w:val="20"/>
              </w:rPr>
              <w:t>Viés na mensuração do desfecho - BICLA</w:t>
            </w:r>
          </w:p>
        </w:tc>
        <w:tc>
          <w:tcPr>
            <w:tcW w:w="2565" w:type="dxa"/>
            <w:tcBorders>
              <w:top w:val="nil"/>
              <w:left w:val="nil"/>
              <w:bottom w:val="single" w:sz="6" w:space="0" w:color="000000"/>
              <w:right w:val="single" w:sz="6" w:space="0" w:color="000000"/>
            </w:tcBorders>
            <w:shd w:val="clear" w:color="auto" w:fill="auto"/>
          </w:tcPr>
          <w:p w14:paraId="3179D7D2" w14:textId="77777777" w:rsidR="00817793" w:rsidRDefault="002719FC">
            <w:pPr>
              <w:spacing w:before="120" w:after="120"/>
              <w:jc w:val="center"/>
            </w:pPr>
            <w:r>
              <w:t>Baixo risco de viés</w:t>
            </w:r>
          </w:p>
          <w:p w14:paraId="24A01D96" w14:textId="1644A247" w:rsidR="00817793" w:rsidRDefault="002719FC">
            <w:pPr>
              <w:spacing w:before="120" w:after="120"/>
              <w:jc w:val="center"/>
            </w:pPr>
            <w:r>
              <w:t>Os desfechos foram avaliados de forma padronizada e validada.</w:t>
            </w:r>
          </w:p>
          <w:p w14:paraId="37D01D21" w14:textId="77777777" w:rsidR="00817793" w:rsidRDefault="002719FC">
            <w:pPr>
              <w:spacing w:before="120" w:after="120"/>
              <w:jc w:val="center"/>
            </w:pPr>
            <w:r>
              <w:t>O artigo menciona que "um grupo independente de revisão central avaliou as avaliações de atividade da doença, incluindo SLEDAI e BILAG".</w:t>
            </w:r>
          </w:p>
          <w:p w14:paraId="64A204C9" w14:textId="77777777" w:rsidR="00817793" w:rsidRDefault="002719FC">
            <w:pPr>
              <w:spacing w:before="120" w:after="120"/>
              <w:jc w:val="center"/>
            </w:pPr>
            <w:r>
              <w:t>O mascaramento foi mantido para pacientes, investigadores e avaliadores dos desfechos.</w:t>
            </w:r>
          </w:p>
        </w:tc>
        <w:tc>
          <w:tcPr>
            <w:tcW w:w="2565" w:type="dxa"/>
            <w:tcBorders>
              <w:top w:val="nil"/>
              <w:left w:val="nil"/>
              <w:bottom w:val="single" w:sz="6" w:space="0" w:color="000000"/>
              <w:right w:val="single" w:sz="6" w:space="0" w:color="000000"/>
            </w:tcBorders>
            <w:shd w:val="clear" w:color="auto" w:fill="auto"/>
          </w:tcPr>
          <w:p w14:paraId="72B03525" w14:textId="77777777" w:rsidR="00817793" w:rsidRDefault="002719FC">
            <w:pPr>
              <w:spacing w:before="120" w:after="120"/>
              <w:jc w:val="center"/>
            </w:pPr>
            <w:r>
              <w:t>Baixo risco de viés</w:t>
            </w:r>
          </w:p>
          <w:p w14:paraId="545B5691" w14:textId="621235C3" w:rsidR="00817793" w:rsidRDefault="002719FC">
            <w:pPr>
              <w:spacing w:before="120" w:after="120"/>
              <w:jc w:val="center"/>
            </w:pPr>
            <w:r>
              <w:t>Os desfechos foram avaliados de forma padronizada e validada.</w:t>
            </w:r>
          </w:p>
          <w:p w14:paraId="16B68E92" w14:textId="77777777" w:rsidR="00817793" w:rsidRDefault="002719FC">
            <w:pPr>
              <w:spacing w:before="120" w:after="120"/>
              <w:jc w:val="center"/>
            </w:pPr>
            <w:r>
              <w:t>Um grupo independente de revisão central avaliou as medidas de atividade da doença, reduzindo o risco de avaliação diferencial entre os grupos.</w:t>
            </w:r>
          </w:p>
          <w:p w14:paraId="78CBFA1D" w14:textId="77777777" w:rsidR="00817793" w:rsidRDefault="002719FC">
            <w:pPr>
              <w:spacing w:before="120" w:after="120"/>
              <w:jc w:val="center"/>
            </w:pPr>
            <w:r>
              <w:t>O mascaramento foi mantido para pacientes, investigadores e avaliadores.</w:t>
            </w:r>
          </w:p>
        </w:tc>
        <w:tc>
          <w:tcPr>
            <w:tcW w:w="2610" w:type="dxa"/>
            <w:tcBorders>
              <w:top w:val="nil"/>
              <w:left w:val="nil"/>
              <w:bottom w:val="single" w:sz="6" w:space="0" w:color="000000"/>
              <w:right w:val="single" w:sz="6" w:space="0" w:color="000000"/>
            </w:tcBorders>
            <w:shd w:val="clear" w:color="auto" w:fill="auto"/>
          </w:tcPr>
          <w:p w14:paraId="2476C52A" w14:textId="77777777" w:rsidR="00817793" w:rsidRDefault="002719FC">
            <w:pPr>
              <w:spacing w:before="120" w:after="120"/>
              <w:jc w:val="center"/>
            </w:pPr>
            <w:r>
              <w:t>x</w:t>
            </w:r>
          </w:p>
        </w:tc>
      </w:tr>
      <w:tr w:rsidR="00817793" w14:paraId="667817CB" w14:textId="77777777">
        <w:tc>
          <w:tcPr>
            <w:tcW w:w="1335" w:type="dxa"/>
            <w:tcBorders>
              <w:top w:val="nil"/>
              <w:left w:val="single" w:sz="6" w:space="0" w:color="000000"/>
              <w:bottom w:val="single" w:sz="6" w:space="0" w:color="000000"/>
              <w:right w:val="single" w:sz="6" w:space="0" w:color="000000"/>
            </w:tcBorders>
            <w:shd w:val="clear" w:color="auto" w:fill="auto"/>
          </w:tcPr>
          <w:p w14:paraId="313DC97F" w14:textId="77777777" w:rsidR="00817793" w:rsidRDefault="002719FC">
            <w:pPr>
              <w:spacing w:before="120" w:after="120"/>
              <w:jc w:val="center"/>
              <w:rPr>
                <w:sz w:val="20"/>
                <w:szCs w:val="20"/>
              </w:rPr>
            </w:pPr>
            <w:r>
              <w:rPr>
                <w:sz w:val="20"/>
                <w:szCs w:val="20"/>
              </w:rPr>
              <w:lastRenderedPageBreak/>
              <w:t>Viés na mensuração do desfecho - EA graves</w:t>
            </w:r>
          </w:p>
        </w:tc>
        <w:tc>
          <w:tcPr>
            <w:tcW w:w="2565" w:type="dxa"/>
            <w:tcBorders>
              <w:top w:val="nil"/>
              <w:left w:val="nil"/>
              <w:bottom w:val="single" w:sz="6" w:space="0" w:color="000000"/>
              <w:right w:val="single" w:sz="6" w:space="0" w:color="000000"/>
            </w:tcBorders>
            <w:shd w:val="clear" w:color="auto" w:fill="auto"/>
          </w:tcPr>
          <w:p w14:paraId="3C389D12" w14:textId="77777777" w:rsidR="00817793" w:rsidRDefault="002719FC">
            <w:pPr>
              <w:spacing w:before="120" w:after="120"/>
              <w:jc w:val="center"/>
            </w:pPr>
            <w:r>
              <w:t>Baixo risco de viés</w:t>
            </w:r>
          </w:p>
          <w:p w14:paraId="6ED6C65B" w14:textId="6FA56DFA" w:rsidR="00817793" w:rsidRDefault="002719FC">
            <w:pPr>
              <w:spacing w:before="120" w:after="120"/>
              <w:jc w:val="center"/>
            </w:pPr>
            <w:r>
              <w:t>Os desfechos foram avaliados de forma padronizada e validada.</w:t>
            </w:r>
          </w:p>
          <w:p w14:paraId="6C960D0E" w14:textId="77777777" w:rsidR="00817793" w:rsidRDefault="002719FC">
            <w:pPr>
              <w:spacing w:before="120" w:after="120"/>
              <w:jc w:val="center"/>
            </w:pPr>
            <w:r>
              <w:t>O artigo menciona que "um grupo independente de revisão central avaliou as avaliações de atividade da doença, incluindo SLEDAI e BILAG".</w:t>
            </w:r>
          </w:p>
          <w:p w14:paraId="11A7B6BB" w14:textId="77777777" w:rsidR="00817793" w:rsidRDefault="002719FC">
            <w:pPr>
              <w:spacing w:before="120" w:after="120"/>
              <w:jc w:val="center"/>
            </w:pPr>
            <w:r>
              <w:t>O mascaramento foi mantido para pacientes, investigadores e avaliadores dos desfechos.</w:t>
            </w:r>
          </w:p>
        </w:tc>
        <w:tc>
          <w:tcPr>
            <w:tcW w:w="2565" w:type="dxa"/>
            <w:tcBorders>
              <w:top w:val="nil"/>
              <w:left w:val="nil"/>
              <w:bottom w:val="single" w:sz="6" w:space="0" w:color="000000"/>
              <w:right w:val="single" w:sz="6" w:space="0" w:color="000000"/>
            </w:tcBorders>
            <w:shd w:val="clear" w:color="auto" w:fill="auto"/>
          </w:tcPr>
          <w:p w14:paraId="58939D9A" w14:textId="77777777" w:rsidR="00817793" w:rsidRDefault="002719FC">
            <w:pPr>
              <w:spacing w:before="120" w:after="120"/>
              <w:jc w:val="center"/>
            </w:pPr>
            <w:r>
              <w:t>Baixo risco de viés</w:t>
            </w:r>
          </w:p>
          <w:p w14:paraId="15A50E02" w14:textId="77777777" w:rsidR="00817793" w:rsidRDefault="002719FC">
            <w:pPr>
              <w:spacing w:before="120" w:after="120"/>
              <w:jc w:val="center"/>
            </w:pPr>
            <w:r>
              <w:t>Os desfechos foram avaliados de forma padronizada e validada.</w:t>
            </w:r>
          </w:p>
          <w:p w14:paraId="1B78EBFB" w14:textId="77777777" w:rsidR="00817793" w:rsidRDefault="002719FC">
            <w:pPr>
              <w:spacing w:before="120" w:after="120"/>
              <w:jc w:val="center"/>
            </w:pPr>
            <w:r>
              <w:t>Um grupo independente de revisão central avaliou as medidas de atividade da doença, reduzindo o risco de avaliação diferencial entre os grupos.</w:t>
            </w:r>
          </w:p>
          <w:p w14:paraId="35E8FE9C" w14:textId="77777777" w:rsidR="00817793" w:rsidRDefault="002719FC">
            <w:pPr>
              <w:spacing w:before="120" w:after="120"/>
              <w:jc w:val="center"/>
            </w:pPr>
            <w:r>
              <w:t>O mascaramento foi mantido para pacientes, investigadores e avaliadores.</w:t>
            </w:r>
          </w:p>
        </w:tc>
        <w:tc>
          <w:tcPr>
            <w:tcW w:w="2610" w:type="dxa"/>
            <w:tcBorders>
              <w:top w:val="nil"/>
              <w:left w:val="nil"/>
              <w:bottom w:val="single" w:sz="6" w:space="0" w:color="000000"/>
              <w:right w:val="single" w:sz="6" w:space="0" w:color="000000"/>
            </w:tcBorders>
            <w:shd w:val="clear" w:color="auto" w:fill="auto"/>
          </w:tcPr>
          <w:p w14:paraId="6D8E3619" w14:textId="77777777" w:rsidR="00817793" w:rsidRDefault="002719FC">
            <w:pPr>
              <w:spacing w:before="120" w:after="120"/>
              <w:jc w:val="center"/>
            </w:pPr>
            <w:r>
              <w:t>Baixo risco de viés</w:t>
            </w:r>
          </w:p>
          <w:p w14:paraId="574623B2" w14:textId="77777777" w:rsidR="00817793" w:rsidRDefault="002719FC">
            <w:pPr>
              <w:spacing w:before="120" w:after="120"/>
              <w:jc w:val="center"/>
            </w:pPr>
            <w:r>
              <w:t>Os eventos adversos graves foram relatados pelos investigadores e classificados de acordo com critérios padronizados. Como o estudo foi cego, é improvável que a mensuração tenha sido influenciada pela alocação</w:t>
            </w:r>
          </w:p>
        </w:tc>
      </w:tr>
      <w:tr w:rsidR="00817793" w14:paraId="610F6AD1" w14:textId="77777777">
        <w:tc>
          <w:tcPr>
            <w:tcW w:w="1335" w:type="dxa"/>
            <w:tcBorders>
              <w:top w:val="nil"/>
              <w:left w:val="single" w:sz="6" w:space="0" w:color="000000"/>
              <w:bottom w:val="single" w:sz="6" w:space="0" w:color="000000"/>
              <w:right w:val="single" w:sz="6" w:space="0" w:color="000000"/>
            </w:tcBorders>
            <w:shd w:val="clear" w:color="auto" w:fill="auto"/>
          </w:tcPr>
          <w:p w14:paraId="0671548F" w14:textId="77777777" w:rsidR="00817793" w:rsidRDefault="002719FC">
            <w:pPr>
              <w:spacing w:before="120" w:after="120"/>
              <w:jc w:val="center"/>
              <w:rPr>
                <w:sz w:val="20"/>
                <w:szCs w:val="20"/>
              </w:rPr>
            </w:pPr>
            <w:r>
              <w:rPr>
                <w:sz w:val="20"/>
                <w:szCs w:val="20"/>
              </w:rPr>
              <w:t>Viés na mensuração do desfecho - Redução de corticosteroides</w:t>
            </w:r>
          </w:p>
        </w:tc>
        <w:tc>
          <w:tcPr>
            <w:tcW w:w="2565" w:type="dxa"/>
            <w:tcBorders>
              <w:top w:val="nil"/>
              <w:left w:val="nil"/>
              <w:bottom w:val="single" w:sz="6" w:space="0" w:color="000000"/>
              <w:right w:val="single" w:sz="6" w:space="0" w:color="000000"/>
            </w:tcBorders>
            <w:shd w:val="clear" w:color="auto" w:fill="auto"/>
          </w:tcPr>
          <w:p w14:paraId="5DDD40A4" w14:textId="77777777" w:rsidR="00817793" w:rsidRDefault="002719FC">
            <w:pPr>
              <w:spacing w:before="120" w:after="120"/>
              <w:jc w:val="center"/>
            </w:pPr>
            <w:r>
              <w:t>Baixo risco de viés</w:t>
            </w:r>
          </w:p>
          <w:p w14:paraId="1C2739C9" w14:textId="77777777" w:rsidR="00817793" w:rsidRDefault="002719FC">
            <w:pPr>
              <w:spacing w:before="120" w:after="120"/>
              <w:jc w:val="center"/>
            </w:pPr>
            <w:r>
              <w:t>Os desfechos foram avaliados de forma padronizada e validada.</w:t>
            </w:r>
          </w:p>
          <w:p w14:paraId="0F62B6FE" w14:textId="77777777" w:rsidR="00817793" w:rsidRDefault="002719FC">
            <w:pPr>
              <w:spacing w:before="120" w:after="120"/>
              <w:jc w:val="center"/>
            </w:pPr>
            <w:r>
              <w:t>O artigo menciona que "um grupo independente de revisão central avaliou as avaliações de atividade da doença, incluindo SLEDAI e BILAG".</w:t>
            </w:r>
          </w:p>
          <w:p w14:paraId="741438B2" w14:textId="77777777" w:rsidR="00817793" w:rsidRDefault="002719FC">
            <w:pPr>
              <w:spacing w:before="120" w:after="120"/>
              <w:jc w:val="center"/>
            </w:pPr>
            <w:r>
              <w:t xml:space="preserve">O mascaramento foi mantido para pacientes, </w:t>
            </w:r>
            <w:r>
              <w:lastRenderedPageBreak/>
              <w:t>investigadores e avaliadores dos desfechos.</w:t>
            </w:r>
          </w:p>
        </w:tc>
        <w:tc>
          <w:tcPr>
            <w:tcW w:w="2565" w:type="dxa"/>
            <w:tcBorders>
              <w:top w:val="nil"/>
              <w:left w:val="nil"/>
              <w:bottom w:val="single" w:sz="6" w:space="0" w:color="000000"/>
              <w:right w:val="single" w:sz="6" w:space="0" w:color="000000"/>
            </w:tcBorders>
            <w:shd w:val="clear" w:color="auto" w:fill="auto"/>
          </w:tcPr>
          <w:p w14:paraId="4506CC7F" w14:textId="77777777" w:rsidR="00817793" w:rsidRDefault="002719FC">
            <w:pPr>
              <w:spacing w:before="120" w:after="120"/>
              <w:jc w:val="center"/>
            </w:pPr>
            <w:r>
              <w:lastRenderedPageBreak/>
              <w:t>Baixo risco de viés</w:t>
            </w:r>
          </w:p>
          <w:p w14:paraId="5DB1C10C" w14:textId="77777777" w:rsidR="00817793" w:rsidRDefault="002719FC">
            <w:pPr>
              <w:spacing w:before="120" w:after="120"/>
              <w:jc w:val="center"/>
            </w:pPr>
            <w:r>
              <w:t>Os desfechos foram avaliados de forma padronizada e validada.</w:t>
            </w:r>
          </w:p>
          <w:p w14:paraId="3B4F1898" w14:textId="77777777" w:rsidR="00817793" w:rsidRDefault="002719FC">
            <w:pPr>
              <w:spacing w:before="120" w:after="120"/>
              <w:jc w:val="center"/>
            </w:pPr>
            <w:r>
              <w:t>Um grupo independente de revisão central avaliou as medidas de atividade da doença, reduzindo o risco de avaliação diferencial entre os grupos.</w:t>
            </w:r>
          </w:p>
          <w:p w14:paraId="41751C25" w14:textId="77777777" w:rsidR="00817793" w:rsidRDefault="002719FC">
            <w:pPr>
              <w:spacing w:before="120" w:after="120"/>
              <w:jc w:val="center"/>
            </w:pPr>
            <w:r>
              <w:t xml:space="preserve">O mascaramento foi mantido para pacientes, </w:t>
            </w:r>
            <w:r>
              <w:lastRenderedPageBreak/>
              <w:t>investigadores e avaliadores.</w:t>
            </w:r>
          </w:p>
        </w:tc>
        <w:tc>
          <w:tcPr>
            <w:tcW w:w="2610" w:type="dxa"/>
            <w:tcBorders>
              <w:top w:val="nil"/>
              <w:left w:val="nil"/>
              <w:bottom w:val="single" w:sz="6" w:space="0" w:color="000000"/>
              <w:right w:val="single" w:sz="6" w:space="0" w:color="000000"/>
            </w:tcBorders>
            <w:shd w:val="clear" w:color="auto" w:fill="auto"/>
          </w:tcPr>
          <w:p w14:paraId="1BBF61C4" w14:textId="77777777" w:rsidR="00817793" w:rsidRDefault="002719FC">
            <w:pPr>
              <w:spacing w:before="120" w:after="120"/>
              <w:jc w:val="center"/>
            </w:pPr>
            <w:r>
              <w:lastRenderedPageBreak/>
              <w:t>Baixo risco de viés</w:t>
            </w:r>
          </w:p>
          <w:p w14:paraId="7ACA0106" w14:textId="77777777" w:rsidR="00817793" w:rsidRDefault="002719FC">
            <w:pPr>
              <w:spacing w:before="120" w:after="120"/>
              <w:jc w:val="center"/>
            </w:pPr>
            <w:r>
              <w:t>A redução de corticosteroides foi medida de forma objetiva (doses cumulativas e proporção de pacientes com doses reduzidas). O cegamento minimiza o risco de influência na mensuração.</w:t>
            </w:r>
          </w:p>
        </w:tc>
      </w:tr>
      <w:tr w:rsidR="00817793" w14:paraId="70412BAD" w14:textId="77777777">
        <w:tc>
          <w:tcPr>
            <w:tcW w:w="1335" w:type="dxa"/>
            <w:tcBorders>
              <w:top w:val="nil"/>
              <w:left w:val="single" w:sz="6" w:space="0" w:color="000000"/>
              <w:bottom w:val="single" w:sz="6" w:space="0" w:color="000000"/>
              <w:right w:val="single" w:sz="6" w:space="0" w:color="000000"/>
            </w:tcBorders>
            <w:shd w:val="clear" w:color="auto" w:fill="auto"/>
          </w:tcPr>
          <w:p w14:paraId="0EB57B17" w14:textId="77777777" w:rsidR="00817793" w:rsidRDefault="002719FC">
            <w:pPr>
              <w:spacing w:before="120" w:after="120"/>
              <w:jc w:val="center"/>
              <w:rPr>
                <w:sz w:val="20"/>
                <w:szCs w:val="20"/>
              </w:rPr>
            </w:pPr>
            <w:r>
              <w:rPr>
                <w:sz w:val="20"/>
                <w:szCs w:val="20"/>
              </w:rPr>
              <w:t>Viés na mensuração do desfecho - CLASI</w:t>
            </w:r>
          </w:p>
        </w:tc>
        <w:tc>
          <w:tcPr>
            <w:tcW w:w="2565" w:type="dxa"/>
            <w:tcBorders>
              <w:top w:val="nil"/>
              <w:left w:val="nil"/>
              <w:bottom w:val="single" w:sz="6" w:space="0" w:color="000000"/>
              <w:right w:val="single" w:sz="6" w:space="0" w:color="000000"/>
            </w:tcBorders>
            <w:shd w:val="clear" w:color="auto" w:fill="auto"/>
          </w:tcPr>
          <w:p w14:paraId="5D249E9B" w14:textId="77777777" w:rsidR="00817793" w:rsidRDefault="002719FC">
            <w:pPr>
              <w:spacing w:before="120" w:after="120"/>
              <w:jc w:val="center"/>
            </w:pPr>
            <w:r>
              <w:t>Baixo risco de viés</w:t>
            </w:r>
          </w:p>
          <w:p w14:paraId="535098E6" w14:textId="77777777" w:rsidR="00817793" w:rsidRDefault="002719FC">
            <w:pPr>
              <w:spacing w:before="120" w:after="120"/>
              <w:jc w:val="center"/>
            </w:pPr>
            <w:r>
              <w:t>Os desfechos foram avaliados de forma padronizada e validada.</w:t>
            </w:r>
          </w:p>
          <w:p w14:paraId="725396C1" w14:textId="77777777" w:rsidR="00817793" w:rsidRDefault="002719FC">
            <w:pPr>
              <w:spacing w:before="120" w:after="120"/>
              <w:jc w:val="center"/>
            </w:pPr>
            <w:r>
              <w:t>O artigo menciona que "um grupo independente de revisão central avaliou as avaliações de atividade da doença, incluindo SLEDAI e BILAG".</w:t>
            </w:r>
          </w:p>
          <w:p w14:paraId="3563AABC" w14:textId="77777777" w:rsidR="00817793" w:rsidRDefault="002719FC">
            <w:pPr>
              <w:spacing w:before="120" w:after="120"/>
              <w:jc w:val="center"/>
            </w:pPr>
            <w:r>
              <w:t>O mascaramento foi mantido para pacientes, investigadores e avaliadores dos desfechos.</w:t>
            </w:r>
          </w:p>
        </w:tc>
        <w:tc>
          <w:tcPr>
            <w:tcW w:w="2565" w:type="dxa"/>
            <w:tcBorders>
              <w:top w:val="nil"/>
              <w:left w:val="nil"/>
              <w:bottom w:val="single" w:sz="6" w:space="0" w:color="000000"/>
              <w:right w:val="single" w:sz="6" w:space="0" w:color="000000"/>
            </w:tcBorders>
            <w:shd w:val="clear" w:color="auto" w:fill="auto"/>
          </w:tcPr>
          <w:p w14:paraId="6A3A5ED9" w14:textId="77777777" w:rsidR="00817793" w:rsidRDefault="002719FC">
            <w:pPr>
              <w:spacing w:before="120" w:after="120"/>
              <w:jc w:val="center"/>
            </w:pPr>
            <w:r>
              <w:t>Baixo risco de viés</w:t>
            </w:r>
          </w:p>
          <w:p w14:paraId="240880FF" w14:textId="77777777" w:rsidR="00817793" w:rsidRDefault="002719FC">
            <w:pPr>
              <w:spacing w:before="120" w:after="120"/>
              <w:jc w:val="center"/>
            </w:pPr>
            <w:r>
              <w:t>Os desfechos foram avaliados de forma padronizada e validada.</w:t>
            </w:r>
          </w:p>
          <w:p w14:paraId="30483483" w14:textId="77777777" w:rsidR="00817793" w:rsidRDefault="002719FC">
            <w:pPr>
              <w:spacing w:before="120" w:after="120"/>
              <w:jc w:val="center"/>
            </w:pPr>
            <w:r>
              <w:t>Um grupo independente de revisão central avaliou as medidas de atividade da doença, reduzindo o risco de avaliação diferencial entre os grupos.</w:t>
            </w:r>
          </w:p>
          <w:p w14:paraId="7666CEF0" w14:textId="77777777" w:rsidR="00817793" w:rsidRDefault="002719FC">
            <w:pPr>
              <w:spacing w:before="120" w:after="120"/>
              <w:jc w:val="center"/>
            </w:pPr>
            <w:r>
              <w:t>O mascaramento foi mantido para pacientes, investigadores e avaliadores.</w:t>
            </w:r>
          </w:p>
        </w:tc>
        <w:tc>
          <w:tcPr>
            <w:tcW w:w="2610" w:type="dxa"/>
            <w:tcBorders>
              <w:top w:val="nil"/>
              <w:left w:val="nil"/>
              <w:bottom w:val="single" w:sz="6" w:space="0" w:color="000000"/>
              <w:right w:val="single" w:sz="6" w:space="0" w:color="000000"/>
            </w:tcBorders>
            <w:shd w:val="clear" w:color="auto" w:fill="auto"/>
          </w:tcPr>
          <w:p w14:paraId="38E324A0" w14:textId="77777777" w:rsidR="00817793" w:rsidRDefault="002719FC">
            <w:pPr>
              <w:spacing w:before="120" w:after="120"/>
              <w:jc w:val="center"/>
            </w:pPr>
            <w:r>
              <w:t>x</w:t>
            </w:r>
          </w:p>
        </w:tc>
      </w:tr>
      <w:tr w:rsidR="00817793" w14:paraId="0DC814A9" w14:textId="77777777">
        <w:tc>
          <w:tcPr>
            <w:tcW w:w="1335" w:type="dxa"/>
            <w:tcBorders>
              <w:top w:val="nil"/>
              <w:left w:val="single" w:sz="6" w:space="0" w:color="000000"/>
              <w:bottom w:val="single" w:sz="6" w:space="0" w:color="000000"/>
              <w:right w:val="single" w:sz="6" w:space="0" w:color="000000"/>
            </w:tcBorders>
            <w:shd w:val="clear" w:color="auto" w:fill="auto"/>
          </w:tcPr>
          <w:p w14:paraId="48AD7BF6" w14:textId="77777777" w:rsidR="00817793" w:rsidRDefault="002719FC">
            <w:pPr>
              <w:spacing w:before="120" w:after="120"/>
              <w:jc w:val="center"/>
              <w:rPr>
                <w:sz w:val="20"/>
                <w:szCs w:val="20"/>
              </w:rPr>
            </w:pPr>
            <w:r>
              <w:rPr>
                <w:sz w:val="20"/>
                <w:szCs w:val="20"/>
              </w:rPr>
              <w:t>Viés na mensuração dos desfechos - SLEDAI-2K</w:t>
            </w:r>
          </w:p>
        </w:tc>
        <w:tc>
          <w:tcPr>
            <w:tcW w:w="2565" w:type="dxa"/>
            <w:tcBorders>
              <w:top w:val="nil"/>
              <w:left w:val="nil"/>
              <w:bottom w:val="single" w:sz="6" w:space="0" w:color="000000"/>
              <w:right w:val="single" w:sz="6" w:space="0" w:color="000000"/>
            </w:tcBorders>
            <w:shd w:val="clear" w:color="auto" w:fill="auto"/>
          </w:tcPr>
          <w:p w14:paraId="7817EA0E" w14:textId="77777777" w:rsidR="00817793" w:rsidRDefault="002719FC">
            <w:pPr>
              <w:spacing w:before="120" w:after="120"/>
              <w:jc w:val="center"/>
            </w:pPr>
            <w:r>
              <w:t>x</w:t>
            </w:r>
          </w:p>
        </w:tc>
        <w:tc>
          <w:tcPr>
            <w:tcW w:w="2565" w:type="dxa"/>
            <w:tcBorders>
              <w:top w:val="nil"/>
              <w:left w:val="nil"/>
              <w:bottom w:val="single" w:sz="6" w:space="0" w:color="000000"/>
              <w:right w:val="single" w:sz="6" w:space="0" w:color="000000"/>
            </w:tcBorders>
            <w:shd w:val="clear" w:color="auto" w:fill="auto"/>
          </w:tcPr>
          <w:p w14:paraId="060E7EBC" w14:textId="77777777" w:rsidR="00817793" w:rsidRDefault="002719FC">
            <w:pPr>
              <w:spacing w:before="120" w:after="120"/>
              <w:jc w:val="center"/>
            </w:pPr>
            <w:r>
              <w:t>x</w:t>
            </w:r>
          </w:p>
        </w:tc>
        <w:tc>
          <w:tcPr>
            <w:tcW w:w="2610" w:type="dxa"/>
            <w:tcBorders>
              <w:top w:val="nil"/>
              <w:left w:val="nil"/>
              <w:bottom w:val="single" w:sz="6" w:space="0" w:color="000000"/>
              <w:right w:val="single" w:sz="6" w:space="0" w:color="000000"/>
            </w:tcBorders>
            <w:shd w:val="clear" w:color="auto" w:fill="auto"/>
          </w:tcPr>
          <w:p w14:paraId="559A6AF7" w14:textId="77777777" w:rsidR="00817793" w:rsidRDefault="002719FC">
            <w:pPr>
              <w:spacing w:before="120" w:after="120"/>
              <w:jc w:val="center"/>
            </w:pPr>
            <w:r>
              <w:t>Baixo risco de viés</w:t>
            </w:r>
          </w:p>
          <w:p w14:paraId="1AA76472" w14:textId="77777777" w:rsidR="00817793" w:rsidRDefault="002719FC">
            <w:pPr>
              <w:spacing w:before="120" w:after="120"/>
              <w:jc w:val="center"/>
            </w:pPr>
            <w:r>
              <w:t>O SLEDAI-2K é uma medida objetiva de atividade da doença e amplamente validada. O cegamento do estudo minimiza a possibilidade de viés na mensuração.</w:t>
            </w:r>
          </w:p>
        </w:tc>
      </w:tr>
      <w:tr w:rsidR="00817793" w14:paraId="3D2F6F8D" w14:textId="77777777">
        <w:tc>
          <w:tcPr>
            <w:tcW w:w="1335" w:type="dxa"/>
            <w:tcBorders>
              <w:top w:val="nil"/>
              <w:left w:val="single" w:sz="6" w:space="0" w:color="000000"/>
              <w:bottom w:val="single" w:sz="6" w:space="0" w:color="000000"/>
              <w:right w:val="single" w:sz="6" w:space="0" w:color="000000"/>
            </w:tcBorders>
            <w:shd w:val="clear" w:color="auto" w:fill="auto"/>
          </w:tcPr>
          <w:p w14:paraId="372F782B" w14:textId="77777777" w:rsidR="00817793" w:rsidRDefault="002719FC">
            <w:pPr>
              <w:spacing w:before="120" w:after="120"/>
              <w:jc w:val="center"/>
              <w:rPr>
                <w:sz w:val="20"/>
                <w:szCs w:val="20"/>
              </w:rPr>
            </w:pPr>
            <w:r>
              <w:rPr>
                <w:sz w:val="20"/>
                <w:szCs w:val="20"/>
              </w:rPr>
              <w:t xml:space="preserve">Viés na seleção dos resultados </w:t>
            </w:r>
            <w:r>
              <w:rPr>
                <w:sz w:val="20"/>
                <w:szCs w:val="20"/>
              </w:rPr>
              <w:lastRenderedPageBreak/>
              <w:t>relatados - SRI-4</w:t>
            </w:r>
          </w:p>
        </w:tc>
        <w:tc>
          <w:tcPr>
            <w:tcW w:w="2565" w:type="dxa"/>
            <w:tcBorders>
              <w:top w:val="nil"/>
              <w:left w:val="nil"/>
              <w:bottom w:val="single" w:sz="6" w:space="0" w:color="000000"/>
              <w:right w:val="single" w:sz="6" w:space="0" w:color="000000"/>
            </w:tcBorders>
            <w:shd w:val="clear" w:color="auto" w:fill="auto"/>
          </w:tcPr>
          <w:p w14:paraId="33C49871" w14:textId="77777777" w:rsidR="00817793" w:rsidRDefault="002719FC">
            <w:pPr>
              <w:spacing w:before="120" w:after="120"/>
              <w:jc w:val="center"/>
            </w:pPr>
            <w:r>
              <w:lastRenderedPageBreak/>
              <w:t>Baixo risco de viés</w:t>
            </w:r>
          </w:p>
          <w:p w14:paraId="7E39FA55" w14:textId="77777777" w:rsidR="00817793" w:rsidRDefault="002719FC">
            <w:pPr>
              <w:spacing w:before="120" w:after="120"/>
              <w:jc w:val="center"/>
            </w:pPr>
            <w:r>
              <w:t xml:space="preserve">O estudo foi registrado no ClinicalTrials.gov </w:t>
            </w:r>
            <w:r>
              <w:lastRenderedPageBreak/>
              <w:t xml:space="preserve">(NCT02446912), o que permite verificar se os desfechos </w:t>
            </w:r>
            <w:proofErr w:type="spellStart"/>
            <w:r>
              <w:t>pré</w:t>
            </w:r>
            <w:proofErr w:type="spellEnd"/>
            <w:r>
              <w:t>-especificados foram relatados.</w:t>
            </w:r>
          </w:p>
          <w:p w14:paraId="1254E9BB" w14:textId="77777777" w:rsidR="00817793" w:rsidRDefault="002719FC">
            <w:pPr>
              <w:spacing w:before="120" w:after="120"/>
              <w:jc w:val="center"/>
            </w:pPr>
            <w:r>
              <w:t>O desfecho primário (SRI-4) e os desfechos secundários principais foram claramente definidos no artigo.</w:t>
            </w:r>
          </w:p>
        </w:tc>
        <w:tc>
          <w:tcPr>
            <w:tcW w:w="2565" w:type="dxa"/>
            <w:tcBorders>
              <w:top w:val="nil"/>
              <w:left w:val="nil"/>
              <w:bottom w:val="single" w:sz="6" w:space="0" w:color="000000"/>
              <w:right w:val="single" w:sz="6" w:space="0" w:color="000000"/>
            </w:tcBorders>
            <w:shd w:val="clear" w:color="auto" w:fill="auto"/>
          </w:tcPr>
          <w:p w14:paraId="6D4A8B87" w14:textId="77777777" w:rsidR="00817793" w:rsidRDefault="002719FC">
            <w:pPr>
              <w:spacing w:before="120" w:after="120"/>
              <w:jc w:val="center"/>
            </w:pPr>
            <w:r>
              <w:lastRenderedPageBreak/>
              <w:t>x</w:t>
            </w:r>
          </w:p>
        </w:tc>
        <w:tc>
          <w:tcPr>
            <w:tcW w:w="2610" w:type="dxa"/>
            <w:tcBorders>
              <w:top w:val="nil"/>
              <w:left w:val="nil"/>
              <w:bottom w:val="single" w:sz="6" w:space="0" w:color="000000"/>
              <w:right w:val="single" w:sz="6" w:space="0" w:color="000000"/>
            </w:tcBorders>
            <w:shd w:val="clear" w:color="auto" w:fill="auto"/>
          </w:tcPr>
          <w:p w14:paraId="2AC30864" w14:textId="77777777" w:rsidR="00817793" w:rsidRDefault="002719FC">
            <w:pPr>
              <w:spacing w:before="120" w:after="120"/>
              <w:jc w:val="center"/>
            </w:pPr>
            <w:r>
              <w:t>x</w:t>
            </w:r>
          </w:p>
        </w:tc>
      </w:tr>
      <w:tr w:rsidR="00817793" w14:paraId="470AD1F2" w14:textId="77777777">
        <w:tc>
          <w:tcPr>
            <w:tcW w:w="1335" w:type="dxa"/>
            <w:tcBorders>
              <w:top w:val="nil"/>
              <w:left w:val="single" w:sz="6" w:space="0" w:color="000000"/>
              <w:bottom w:val="single" w:sz="6" w:space="0" w:color="000000"/>
              <w:right w:val="single" w:sz="6" w:space="0" w:color="000000"/>
            </w:tcBorders>
            <w:shd w:val="clear" w:color="auto" w:fill="auto"/>
          </w:tcPr>
          <w:p w14:paraId="1EC9FA60" w14:textId="77777777" w:rsidR="00817793" w:rsidRDefault="002719FC">
            <w:pPr>
              <w:spacing w:before="120" w:after="120"/>
              <w:jc w:val="center"/>
              <w:rPr>
                <w:sz w:val="20"/>
                <w:szCs w:val="20"/>
              </w:rPr>
            </w:pPr>
            <w:r>
              <w:rPr>
                <w:sz w:val="20"/>
                <w:szCs w:val="20"/>
              </w:rPr>
              <w:t>Viés na seleção dos resultados relatados - BICLA</w:t>
            </w:r>
          </w:p>
        </w:tc>
        <w:tc>
          <w:tcPr>
            <w:tcW w:w="2565" w:type="dxa"/>
            <w:tcBorders>
              <w:top w:val="nil"/>
              <w:left w:val="nil"/>
              <w:bottom w:val="single" w:sz="6" w:space="0" w:color="000000"/>
              <w:right w:val="single" w:sz="6" w:space="0" w:color="000000"/>
            </w:tcBorders>
            <w:shd w:val="clear" w:color="auto" w:fill="auto"/>
          </w:tcPr>
          <w:p w14:paraId="436FD234" w14:textId="77777777" w:rsidR="00817793" w:rsidRDefault="002719FC">
            <w:pPr>
              <w:spacing w:before="120" w:after="120"/>
              <w:jc w:val="center"/>
            </w:pPr>
            <w:r>
              <w:t>Baixo risco de viés</w:t>
            </w:r>
          </w:p>
          <w:p w14:paraId="19D39044" w14:textId="77777777" w:rsidR="00817793" w:rsidRDefault="002719FC">
            <w:pPr>
              <w:spacing w:before="120" w:after="120"/>
              <w:jc w:val="center"/>
            </w:pPr>
            <w:r>
              <w:t xml:space="preserve">O estudo foi registrado no </w:t>
            </w:r>
            <w:r w:rsidRPr="00020252">
              <w:rPr>
                <w:i/>
                <w:iCs/>
              </w:rPr>
              <w:t>ClinicalTrials.gov</w:t>
            </w:r>
            <w:r>
              <w:t xml:space="preserve"> (NCT02446912), o que permite verificar se os desfechos </w:t>
            </w:r>
            <w:proofErr w:type="spellStart"/>
            <w:r>
              <w:t>pré</w:t>
            </w:r>
            <w:proofErr w:type="spellEnd"/>
            <w:r>
              <w:t>-especificados foram relatados.</w:t>
            </w:r>
          </w:p>
          <w:p w14:paraId="41A7B3FF" w14:textId="77777777" w:rsidR="00817793" w:rsidRDefault="002719FC">
            <w:pPr>
              <w:spacing w:before="120" w:after="120"/>
              <w:jc w:val="center"/>
            </w:pPr>
            <w:r>
              <w:t>O desfecho primário (SRI-4) e os desfechos secundários principais foram claramente definidos no artigo.</w:t>
            </w:r>
          </w:p>
        </w:tc>
        <w:tc>
          <w:tcPr>
            <w:tcW w:w="2565" w:type="dxa"/>
            <w:tcBorders>
              <w:top w:val="nil"/>
              <w:left w:val="nil"/>
              <w:bottom w:val="single" w:sz="6" w:space="0" w:color="000000"/>
              <w:right w:val="single" w:sz="6" w:space="0" w:color="000000"/>
            </w:tcBorders>
            <w:shd w:val="clear" w:color="auto" w:fill="auto"/>
          </w:tcPr>
          <w:p w14:paraId="3C1B8C8C" w14:textId="77777777" w:rsidR="00817793" w:rsidRDefault="002719FC">
            <w:pPr>
              <w:spacing w:before="120" w:after="120"/>
              <w:jc w:val="center"/>
            </w:pPr>
            <w:r>
              <w:t>Algumas preocupações</w:t>
            </w:r>
          </w:p>
          <w:p w14:paraId="5A8A22CB" w14:textId="77777777" w:rsidR="00817793" w:rsidRDefault="002719FC">
            <w:pPr>
              <w:spacing w:before="120" w:after="120"/>
              <w:jc w:val="center"/>
            </w:pPr>
            <w:r>
              <w:t>O desfecho primário (BICLA) foi alterado de forma prospectiva (antes do desmascaramento dos dados) em uma emenda ao protocolo, substituindo o SRI-4 como desfecho primário. Essa mudança foi baseada nos resultados do estudo TULIP-1, que mostrou que o BICLA era mais sensível às mudanças clínicas.</w:t>
            </w:r>
          </w:p>
          <w:p w14:paraId="79A86A1B" w14:textId="77777777" w:rsidR="00817793" w:rsidRDefault="002719FC">
            <w:pPr>
              <w:spacing w:before="120" w:after="120"/>
              <w:jc w:val="center"/>
            </w:pPr>
            <w:r>
              <w:t xml:space="preserve">Embora a justificativa para a alteração seja plausível, a mudança no desfecho primário após o início do </w:t>
            </w:r>
            <w:r>
              <w:lastRenderedPageBreak/>
              <w:t>estudo pode levantar preocupações sobre viés na seleção dos resultados relatados.</w:t>
            </w:r>
          </w:p>
        </w:tc>
        <w:tc>
          <w:tcPr>
            <w:tcW w:w="2610" w:type="dxa"/>
            <w:tcBorders>
              <w:top w:val="nil"/>
              <w:left w:val="nil"/>
              <w:bottom w:val="single" w:sz="6" w:space="0" w:color="000000"/>
              <w:right w:val="single" w:sz="6" w:space="0" w:color="000000"/>
            </w:tcBorders>
            <w:shd w:val="clear" w:color="auto" w:fill="auto"/>
          </w:tcPr>
          <w:p w14:paraId="54DFC063" w14:textId="77777777" w:rsidR="00817793" w:rsidRDefault="002719FC">
            <w:pPr>
              <w:spacing w:before="120" w:after="120"/>
              <w:jc w:val="center"/>
            </w:pPr>
            <w:r>
              <w:lastRenderedPageBreak/>
              <w:t>x</w:t>
            </w:r>
          </w:p>
        </w:tc>
      </w:tr>
      <w:tr w:rsidR="00817793" w14:paraId="13A50F09" w14:textId="77777777">
        <w:tc>
          <w:tcPr>
            <w:tcW w:w="1335" w:type="dxa"/>
            <w:tcBorders>
              <w:top w:val="nil"/>
              <w:left w:val="single" w:sz="6" w:space="0" w:color="000000"/>
              <w:bottom w:val="single" w:sz="6" w:space="0" w:color="000000"/>
              <w:right w:val="single" w:sz="6" w:space="0" w:color="000000"/>
            </w:tcBorders>
            <w:shd w:val="clear" w:color="auto" w:fill="auto"/>
          </w:tcPr>
          <w:p w14:paraId="71BA4F89" w14:textId="77777777" w:rsidR="00817793" w:rsidRDefault="002719FC">
            <w:pPr>
              <w:spacing w:before="120" w:after="120"/>
              <w:jc w:val="center"/>
              <w:rPr>
                <w:sz w:val="20"/>
                <w:szCs w:val="20"/>
              </w:rPr>
            </w:pPr>
            <w:r>
              <w:rPr>
                <w:sz w:val="20"/>
                <w:szCs w:val="20"/>
              </w:rPr>
              <w:t>Viés na seleção dos resultados relatados - EA graves</w:t>
            </w:r>
          </w:p>
        </w:tc>
        <w:tc>
          <w:tcPr>
            <w:tcW w:w="2565" w:type="dxa"/>
            <w:tcBorders>
              <w:top w:val="nil"/>
              <w:left w:val="nil"/>
              <w:bottom w:val="single" w:sz="6" w:space="0" w:color="000000"/>
              <w:right w:val="single" w:sz="6" w:space="0" w:color="000000"/>
            </w:tcBorders>
            <w:shd w:val="clear" w:color="auto" w:fill="auto"/>
          </w:tcPr>
          <w:p w14:paraId="18BC00E0" w14:textId="77777777" w:rsidR="00817793" w:rsidRDefault="002719FC">
            <w:pPr>
              <w:spacing w:before="120" w:after="120"/>
              <w:jc w:val="center"/>
            </w:pPr>
            <w:r>
              <w:t>Baixo risco de viés</w:t>
            </w:r>
          </w:p>
          <w:p w14:paraId="08D7CC86" w14:textId="77777777" w:rsidR="00817793" w:rsidRDefault="002719FC">
            <w:pPr>
              <w:spacing w:before="120" w:after="120"/>
              <w:jc w:val="center"/>
            </w:pPr>
            <w:r>
              <w:t xml:space="preserve">O estudo foi registrado no </w:t>
            </w:r>
            <w:r w:rsidRPr="00020252">
              <w:rPr>
                <w:i/>
                <w:iCs/>
              </w:rPr>
              <w:t>ClinicalTrials.gov</w:t>
            </w:r>
            <w:r>
              <w:t xml:space="preserve"> (NCT02446912), o que permite verificar se os desfechos </w:t>
            </w:r>
            <w:proofErr w:type="spellStart"/>
            <w:r>
              <w:t>pré</w:t>
            </w:r>
            <w:proofErr w:type="spellEnd"/>
            <w:r>
              <w:t>-especificados foram relatados.</w:t>
            </w:r>
          </w:p>
          <w:p w14:paraId="2A6148E0" w14:textId="77777777" w:rsidR="00817793" w:rsidRDefault="002719FC">
            <w:pPr>
              <w:spacing w:before="120" w:after="120"/>
              <w:jc w:val="center"/>
            </w:pPr>
            <w:r>
              <w:t>O desfecho primário e os desfechos secundários principais foram claramente definidos no artigo.</w:t>
            </w:r>
          </w:p>
        </w:tc>
        <w:tc>
          <w:tcPr>
            <w:tcW w:w="2565" w:type="dxa"/>
            <w:tcBorders>
              <w:top w:val="nil"/>
              <w:left w:val="nil"/>
              <w:bottom w:val="single" w:sz="6" w:space="0" w:color="000000"/>
              <w:right w:val="single" w:sz="6" w:space="0" w:color="000000"/>
            </w:tcBorders>
            <w:shd w:val="clear" w:color="auto" w:fill="auto"/>
          </w:tcPr>
          <w:p w14:paraId="1267C2DE" w14:textId="77777777" w:rsidR="00817793" w:rsidRDefault="002719FC">
            <w:pPr>
              <w:spacing w:before="120" w:after="120"/>
              <w:jc w:val="center"/>
            </w:pPr>
            <w:r>
              <w:t>Baixo risco de viés</w:t>
            </w:r>
          </w:p>
          <w:p w14:paraId="5F322CA3" w14:textId="77777777" w:rsidR="00817793" w:rsidRDefault="002719FC">
            <w:pPr>
              <w:spacing w:before="120" w:after="120"/>
              <w:jc w:val="center"/>
            </w:pPr>
            <w:r>
              <w:t xml:space="preserve">Os desfechos </w:t>
            </w:r>
            <w:proofErr w:type="spellStart"/>
            <w:r>
              <w:t>pré</w:t>
            </w:r>
            <w:proofErr w:type="spellEnd"/>
            <w:r>
              <w:t>-especificados foram relatados.</w:t>
            </w:r>
          </w:p>
          <w:p w14:paraId="685B8820" w14:textId="77777777" w:rsidR="00817793" w:rsidRDefault="002719FC">
            <w:pPr>
              <w:spacing w:before="120" w:after="120"/>
              <w:jc w:val="center"/>
            </w:pPr>
            <w:r>
              <w:t>O desfecho primário e os desfechos secundários principais foram claramente definidos no artigo.</w:t>
            </w:r>
          </w:p>
        </w:tc>
        <w:tc>
          <w:tcPr>
            <w:tcW w:w="2610" w:type="dxa"/>
            <w:tcBorders>
              <w:top w:val="nil"/>
              <w:left w:val="nil"/>
              <w:bottom w:val="single" w:sz="6" w:space="0" w:color="000000"/>
              <w:right w:val="single" w:sz="6" w:space="0" w:color="000000"/>
            </w:tcBorders>
            <w:shd w:val="clear" w:color="auto" w:fill="auto"/>
          </w:tcPr>
          <w:p w14:paraId="50F6D702" w14:textId="77777777" w:rsidR="00817793" w:rsidRDefault="002719FC">
            <w:pPr>
              <w:spacing w:before="120" w:after="120"/>
              <w:jc w:val="center"/>
            </w:pPr>
            <w:r>
              <w:t>Baixo risco de viés</w:t>
            </w:r>
          </w:p>
          <w:p w14:paraId="0D123507" w14:textId="77777777" w:rsidR="00817793" w:rsidRDefault="002719FC">
            <w:pPr>
              <w:spacing w:before="120" w:after="120"/>
              <w:jc w:val="center"/>
            </w:pPr>
            <w:r>
              <w:t xml:space="preserve">Os desfechos </w:t>
            </w:r>
            <w:proofErr w:type="spellStart"/>
            <w:r>
              <w:t>pré</w:t>
            </w:r>
            <w:proofErr w:type="spellEnd"/>
            <w:r>
              <w:t>-especificados foram relatados.</w:t>
            </w:r>
          </w:p>
          <w:p w14:paraId="0D0134FD" w14:textId="77777777" w:rsidR="00817793" w:rsidRDefault="002719FC">
            <w:pPr>
              <w:spacing w:before="120" w:after="120"/>
              <w:jc w:val="center"/>
            </w:pPr>
            <w:r>
              <w:t>O desfecho primário e os desfechos secundários principais foram claramente definidos no artigo.</w:t>
            </w:r>
          </w:p>
        </w:tc>
      </w:tr>
      <w:tr w:rsidR="00817793" w14:paraId="3731698C" w14:textId="77777777">
        <w:tc>
          <w:tcPr>
            <w:tcW w:w="1335" w:type="dxa"/>
            <w:tcBorders>
              <w:top w:val="nil"/>
              <w:left w:val="single" w:sz="6" w:space="0" w:color="000000"/>
              <w:bottom w:val="single" w:sz="6" w:space="0" w:color="000000"/>
              <w:right w:val="single" w:sz="6" w:space="0" w:color="000000"/>
            </w:tcBorders>
            <w:shd w:val="clear" w:color="auto" w:fill="auto"/>
          </w:tcPr>
          <w:p w14:paraId="48A36073" w14:textId="77777777" w:rsidR="00817793" w:rsidRDefault="002719FC">
            <w:pPr>
              <w:spacing w:before="120" w:after="120"/>
              <w:jc w:val="center"/>
              <w:rPr>
                <w:sz w:val="20"/>
                <w:szCs w:val="20"/>
              </w:rPr>
            </w:pPr>
            <w:r>
              <w:rPr>
                <w:sz w:val="20"/>
                <w:szCs w:val="20"/>
              </w:rPr>
              <w:t>Viés na seleção dos resultados relatados - Redução de corticosteroides</w:t>
            </w:r>
          </w:p>
        </w:tc>
        <w:tc>
          <w:tcPr>
            <w:tcW w:w="2565" w:type="dxa"/>
            <w:tcBorders>
              <w:top w:val="nil"/>
              <w:left w:val="nil"/>
              <w:bottom w:val="single" w:sz="6" w:space="0" w:color="000000"/>
              <w:right w:val="single" w:sz="6" w:space="0" w:color="000000"/>
            </w:tcBorders>
            <w:shd w:val="clear" w:color="auto" w:fill="auto"/>
          </w:tcPr>
          <w:p w14:paraId="58E2D525" w14:textId="77777777" w:rsidR="00817793" w:rsidRDefault="002719FC">
            <w:pPr>
              <w:spacing w:before="120" w:after="120"/>
              <w:jc w:val="center"/>
            </w:pPr>
            <w:r>
              <w:t>Algumas preocupações</w:t>
            </w:r>
          </w:p>
          <w:p w14:paraId="261598BE" w14:textId="77777777" w:rsidR="00817793" w:rsidRDefault="002719FC">
            <w:pPr>
              <w:spacing w:before="120" w:after="120"/>
              <w:jc w:val="center"/>
            </w:pPr>
            <w:r>
              <w:t>Após o desmascaramento, os autores identificaram que as regras originais usadas para classificar os respondedores pelo uso de anti-inflamatórios não esteroidais (</w:t>
            </w:r>
            <w:proofErr w:type="spellStart"/>
            <w:r>
              <w:t>AINEs</w:t>
            </w:r>
            <w:proofErr w:type="spellEnd"/>
            <w:r>
              <w:t>) eram inconsistentes com a intenção do protocolo.</w:t>
            </w:r>
          </w:p>
          <w:p w14:paraId="4F26078A" w14:textId="77777777" w:rsidR="00817793" w:rsidRDefault="002719FC">
            <w:pPr>
              <w:spacing w:before="120" w:after="120"/>
              <w:jc w:val="center"/>
            </w:pPr>
            <w:r>
              <w:lastRenderedPageBreak/>
              <w:t>Os autores realizaram análises post-hoc com regras de medicação restritas alteradas, o que pode introduzir viés na seleção dos resultados relatados.</w:t>
            </w:r>
          </w:p>
        </w:tc>
        <w:tc>
          <w:tcPr>
            <w:tcW w:w="2565" w:type="dxa"/>
            <w:tcBorders>
              <w:top w:val="nil"/>
              <w:left w:val="nil"/>
              <w:bottom w:val="single" w:sz="6" w:space="0" w:color="000000"/>
              <w:right w:val="single" w:sz="6" w:space="0" w:color="000000"/>
            </w:tcBorders>
            <w:shd w:val="clear" w:color="auto" w:fill="auto"/>
          </w:tcPr>
          <w:p w14:paraId="1E0D35FA" w14:textId="77777777" w:rsidR="00817793" w:rsidRDefault="002719FC">
            <w:pPr>
              <w:spacing w:before="120" w:after="120"/>
              <w:jc w:val="center"/>
            </w:pPr>
            <w:r>
              <w:lastRenderedPageBreak/>
              <w:t>Baixo risco de viés</w:t>
            </w:r>
          </w:p>
          <w:p w14:paraId="1047B4D6" w14:textId="77777777" w:rsidR="00817793" w:rsidRDefault="002719FC">
            <w:pPr>
              <w:spacing w:before="120" w:after="120"/>
              <w:jc w:val="center"/>
            </w:pPr>
            <w:r>
              <w:t xml:space="preserve">Os desfechos </w:t>
            </w:r>
            <w:proofErr w:type="spellStart"/>
            <w:r>
              <w:t>pré</w:t>
            </w:r>
            <w:proofErr w:type="spellEnd"/>
            <w:r>
              <w:t>-especificados foram relatados.</w:t>
            </w:r>
          </w:p>
          <w:p w14:paraId="3E06B136" w14:textId="77777777" w:rsidR="00817793" w:rsidRDefault="002719FC">
            <w:pPr>
              <w:spacing w:before="120" w:after="120"/>
              <w:jc w:val="center"/>
            </w:pPr>
            <w:r>
              <w:t>O desfecho primário e os desfechos secundários principais foram claramente definidos no artigo.</w:t>
            </w:r>
          </w:p>
        </w:tc>
        <w:tc>
          <w:tcPr>
            <w:tcW w:w="2610" w:type="dxa"/>
            <w:tcBorders>
              <w:top w:val="nil"/>
              <w:left w:val="nil"/>
              <w:bottom w:val="single" w:sz="6" w:space="0" w:color="000000"/>
              <w:right w:val="single" w:sz="6" w:space="0" w:color="000000"/>
            </w:tcBorders>
            <w:shd w:val="clear" w:color="auto" w:fill="auto"/>
          </w:tcPr>
          <w:p w14:paraId="1B380904" w14:textId="77777777" w:rsidR="00817793" w:rsidRDefault="002719FC">
            <w:pPr>
              <w:spacing w:before="120" w:after="120"/>
              <w:jc w:val="center"/>
            </w:pPr>
            <w:r>
              <w:t>Baixo risco de viés</w:t>
            </w:r>
          </w:p>
          <w:p w14:paraId="29039B12" w14:textId="77777777" w:rsidR="00817793" w:rsidRDefault="002719FC">
            <w:pPr>
              <w:spacing w:before="120" w:after="120"/>
              <w:jc w:val="center"/>
            </w:pPr>
            <w:r>
              <w:t>Os dados de redução de corticosteroides foram apresentados de forma clara, com análises detalhadas.</w:t>
            </w:r>
          </w:p>
          <w:p w14:paraId="7AA83ED0" w14:textId="77777777" w:rsidR="00817793" w:rsidRDefault="002719FC">
            <w:pPr>
              <w:spacing w:before="120" w:after="120"/>
              <w:jc w:val="center"/>
            </w:pPr>
            <w:r>
              <w:t xml:space="preserve">Os desfechos </w:t>
            </w:r>
            <w:proofErr w:type="spellStart"/>
            <w:r>
              <w:t>pré</w:t>
            </w:r>
            <w:proofErr w:type="spellEnd"/>
            <w:r>
              <w:t>-especificados foram relatados.</w:t>
            </w:r>
          </w:p>
          <w:p w14:paraId="0E35F9EA" w14:textId="77777777" w:rsidR="00817793" w:rsidRDefault="002719FC">
            <w:pPr>
              <w:spacing w:before="120" w:after="120"/>
              <w:jc w:val="center"/>
            </w:pPr>
            <w:r>
              <w:lastRenderedPageBreak/>
              <w:t>O desfecho primário e os desfechos secundários principais foram claramente definidos no artigo.</w:t>
            </w:r>
          </w:p>
        </w:tc>
      </w:tr>
      <w:tr w:rsidR="00817793" w14:paraId="0B6DBCB2" w14:textId="77777777">
        <w:tc>
          <w:tcPr>
            <w:tcW w:w="1335" w:type="dxa"/>
            <w:tcBorders>
              <w:top w:val="nil"/>
              <w:left w:val="single" w:sz="6" w:space="0" w:color="000000"/>
              <w:bottom w:val="single" w:sz="6" w:space="0" w:color="000000"/>
              <w:right w:val="single" w:sz="6" w:space="0" w:color="000000"/>
            </w:tcBorders>
            <w:shd w:val="clear" w:color="auto" w:fill="auto"/>
          </w:tcPr>
          <w:p w14:paraId="0077167A" w14:textId="77777777" w:rsidR="00817793" w:rsidRDefault="002719FC">
            <w:pPr>
              <w:spacing w:before="120" w:after="120"/>
              <w:jc w:val="center"/>
              <w:rPr>
                <w:sz w:val="20"/>
                <w:szCs w:val="20"/>
              </w:rPr>
            </w:pPr>
            <w:r>
              <w:rPr>
                <w:sz w:val="20"/>
                <w:szCs w:val="20"/>
              </w:rPr>
              <w:lastRenderedPageBreak/>
              <w:t>Viés na seleção dos resultados relatados - CLASI</w:t>
            </w:r>
          </w:p>
        </w:tc>
        <w:tc>
          <w:tcPr>
            <w:tcW w:w="2565" w:type="dxa"/>
            <w:tcBorders>
              <w:top w:val="nil"/>
              <w:left w:val="nil"/>
              <w:bottom w:val="single" w:sz="6" w:space="0" w:color="000000"/>
              <w:right w:val="single" w:sz="6" w:space="0" w:color="000000"/>
            </w:tcBorders>
            <w:shd w:val="clear" w:color="auto" w:fill="auto"/>
          </w:tcPr>
          <w:p w14:paraId="7226FF72" w14:textId="77777777" w:rsidR="00817793" w:rsidRDefault="002719FC">
            <w:pPr>
              <w:spacing w:before="120" w:after="120"/>
              <w:jc w:val="center"/>
            </w:pPr>
            <w:r>
              <w:t>Baixo risco de viés</w:t>
            </w:r>
          </w:p>
          <w:p w14:paraId="06D370C5" w14:textId="77777777" w:rsidR="00817793" w:rsidRDefault="002719FC">
            <w:pPr>
              <w:spacing w:before="120" w:after="120"/>
              <w:jc w:val="center"/>
            </w:pPr>
            <w:r>
              <w:t xml:space="preserve">O estudo foi registrado no </w:t>
            </w:r>
            <w:r w:rsidRPr="00020252">
              <w:rPr>
                <w:i/>
                <w:iCs/>
              </w:rPr>
              <w:t>ClinicalTrials.gov</w:t>
            </w:r>
            <w:r>
              <w:t xml:space="preserve"> (NCT02446912), o que permite verificar se os desfechos </w:t>
            </w:r>
            <w:proofErr w:type="spellStart"/>
            <w:r>
              <w:t>pré</w:t>
            </w:r>
            <w:proofErr w:type="spellEnd"/>
            <w:r>
              <w:t>-especificados foram relatados.</w:t>
            </w:r>
          </w:p>
          <w:p w14:paraId="2999F9F7" w14:textId="77777777" w:rsidR="00817793" w:rsidRDefault="002719FC">
            <w:pPr>
              <w:spacing w:before="120" w:after="120"/>
              <w:jc w:val="center"/>
            </w:pPr>
            <w:r>
              <w:t>O desfecho primário (SRI-4) e os desfechos secundários principais foram claramente definidos no artigo.</w:t>
            </w:r>
          </w:p>
        </w:tc>
        <w:tc>
          <w:tcPr>
            <w:tcW w:w="2565" w:type="dxa"/>
            <w:tcBorders>
              <w:top w:val="nil"/>
              <w:left w:val="nil"/>
              <w:bottom w:val="single" w:sz="6" w:space="0" w:color="000000"/>
              <w:right w:val="single" w:sz="6" w:space="0" w:color="000000"/>
            </w:tcBorders>
            <w:shd w:val="clear" w:color="auto" w:fill="auto"/>
          </w:tcPr>
          <w:p w14:paraId="01F7EEE1" w14:textId="77777777" w:rsidR="00817793" w:rsidRDefault="002719FC">
            <w:pPr>
              <w:spacing w:before="120" w:after="120"/>
              <w:jc w:val="center"/>
            </w:pPr>
            <w:r>
              <w:t>Baixo risco de viés</w:t>
            </w:r>
          </w:p>
          <w:p w14:paraId="79C5829C" w14:textId="77777777" w:rsidR="00817793" w:rsidRDefault="002719FC">
            <w:pPr>
              <w:spacing w:before="120" w:after="120"/>
              <w:jc w:val="center"/>
            </w:pPr>
            <w:r>
              <w:t xml:space="preserve">Os desfechos </w:t>
            </w:r>
            <w:proofErr w:type="spellStart"/>
            <w:r>
              <w:t>pré</w:t>
            </w:r>
            <w:proofErr w:type="spellEnd"/>
            <w:r>
              <w:t>-especificados foram relatados.</w:t>
            </w:r>
          </w:p>
          <w:p w14:paraId="77401F93" w14:textId="77777777" w:rsidR="00817793" w:rsidRDefault="002719FC">
            <w:pPr>
              <w:spacing w:before="120" w:after="120"/>
              <w:jc w:val="center"/>
            </w:pPr>
            <w:r>
              <w:t>O desfecho primário e os desfechos secundários principais foram claramente definidos no artigo.</w:t>
            </w:r>
          </w:p>
        </w:tc>
        <w:tc>
          <w:tcPr>
            <w:tcW w:w="2610" w:type="dxa"/>
            <w:tcBorders>
              <w:top w:val="nil"/>
              <w:left w:val="nil"/>
              <w:bottom w:val="single" w:sz="6" w:space="0" w:color="000000"/>
              <w:right w:val="single" w:sz="6" w:space="0" w:color="000000"/>
            </w:tcBorders>
            <w:shd w:val="clear" w:color="auto" w:fill="auto"/>
          </w:tcPr>
          <w:p w14:paraId="31D6CAC8" w14:textId="77777777" w:rsidR="00817793" w:rsidRDefault="002719FC">
            <w:pPr>
              <w:spacing w:before="120" w:after="120"/>
              <w:jc w:val="center"/>
            </w:pPr>
            <w:r>
              <w:t>x</w:t>
            </w:r>
          </w:p>
        </w:tc>
      </w:tr>
      <w:tr w:rsidR="00817793" w14:paraId="20610EE7" w14:textId="77777777">
        <w:tc>
          <w:tcPr>
            <w:tcW w:w="1335" w:type="dxa"/>
            <w:tcBorders>
              <w:top w:val="nil"/>
              <w:left w:val="single" w:sz="6" w:space="0" w:color="000000"/>
              <w:bottom w:val="single" w:sz="6" w:space="0" w:color="000000"/>
              <w:right w:val="single" w:sz="6" w:space="0" w:color="000000"/>
            </w:tcBorders>
            <w:shd w:val="clear" w:color="auto" w:fill="auto"/>
          </w:tcPr>
          <w:p w14:paraId="7165E326" w14:textId="77777777" w:rsidR="00817793" w:rsidRDefault="002719FC">
            <w:pPr>
              <w:spacing w:before="120" w:after="120"/>
              <w:jc w:val="center"/>
              <w:rPr>
                <w:sz w:val="20"/>
                <w:szCs w:val="20"/>
              </w:rPr>
            </w:pPr>
            <w:r>
              <w:rPr>
                <w:sz w:val="20"/>
                <w:szCs w:val="20"/>
              </w:rPr>
              <w:t>Viés na seleção dos resultados relatados - SLEDAI-2K</w:t>
            </w:r>
          </w:p>
        </w:tc>
        <w:tc>
          <w:tcPr>
            <w:tcW w:w="2565" w:type="dxa"/>
            <w:tcBorders>
              <w:top w:val="nil"/>
              <w:left w:val="nil"/>
              <w:bottom w:val="single" w:sz="6" w:space="0" w:color="000000"/>
              <w:right w:val="single" w:sz="6" w:space="0" w:color="000000"/>
            </w:tcBorders>
            <w:shd w:val="clear" w:color="auto" w:fill="auto"/>
          </w:tcPr>
          <w:p w14:paraId="48BFD5E1" w14:textId="77777777" w:rsidR="00817793" w:rsidRDefault="002719FC">
            <w:pPr>
              <w:spacing w:before="120" w:after="120"/>
              <w:jc w:val="center"/>
            </w:pPr>
            <w:r>
              <w:t>x</w:t>
            </w:r>
          </w:p>
        </w:tc>
        <w:tc>
          <w:tcPr>
            <w:tcW w:w="2565" w:type="dxa"/>
            <w:tcBorders>
              <w:top w:val="nil"/>
              <w:left w:val="nil"/>
              <w:bottom w:val="single" w:sz="6" w:space="0" w:color="000000"/>
              <w:right w:val="single" w:sz="6" w:space="0" w:color="000000"/>
            </w:tcBorders>
            <w:shd w:val="clear" w:color="auto" w:fill="auto"/>
          </w:tcPr>
          <w:p w14:paraId="7BF4EFEF" w14:textId="77777777" w:rsidR="00817793" w:rsidRDefault="002719FC">
            <w:pPr>
              <w:spacing w:before="120" w:after="120"/>
              <w:jc w:val="center"/>
            </w:pPr>
            <w:r>
              <w:t>x</w:t>
            </w:r>
          </w:p>
        </w:tc>
        <w:tc>
          <w:tcPr>
            <w:tcW w:w="2610" w:type="dxa"/>
            <w:tcBorders>
              <w:top w:val="nil"/>
              <w:left w:val="nil"/>
              <w:bottom w:val="single" w:sz="6" w:space="0" w:color="000000"/>
              <w:right w:val="single" w:sz="6" w:space="0" w:color="000000"/>
            </w:tcBorders>
            <w:shd w:val="clear" w:color="auto" w:fill="auto"/>
          </w:tcPr>
          <w:p w14:paraId="264FB197" w14:textId="77777777" w:rsidR="00817793" w:rsidRDefault="002719FC">
            <w:pPr>
              <w:spacing w:before="120" w:after="120"/>
              <w:jc w:val="center"/>
            </w:pPr>
            <w:r>
              <w:t>Baixo risco de viés</w:t>
            </w:r>
          </w:p>
          <w:p w14:paraId="6B2D0C2E" w14:textId="77777777" w:rsidR="00817793" w:rsidRDefault="002719FC">
            <w:pPr>
              <w:spacing w:before="120" w:after="120"/>
              <w:jc w:val="center"/>
            </w:pPr>
            <w:r>
              <w:t xml:space="preserve">Os desfechos </w:t>
            </w:r>
            <w:proofErr w:type="spellStart"/>
            <w:r>
              <w:t>pré</w:t>
            </w:r>
            <w:proofErr w:type="spellEnd"/>
            <w:r>
              <w:t>-especificados foram relatados.</w:t>
            </w:r>
          </w:p>
          <w:p w14:paraId="13462350" w14:textId="77777777" w:rsidR="00817793" w:rsidRDefault="002719FC">
            <w:pPr>
              <w:spacing w:before="120" w:after="120"/>
              <w:jc w:val="center"/>
            </w:pPr>
            <w:r>
              <w:t xml:space="preserve">O desfecho primário e os desfechos secundários principais foram </w:t>
            </w:r>
            <w:r>
              <w:lastRenderedPageBreak/>
              <w:t>claramente definidos no artigo.</w:t>
            </w:r>
          </w:p>
        </w:tc>
      </w:tr>
    </w:tbl>
    <w:p w14:paraId="4A332EB9" w14:textId="6F3CD769" w:rsidR="00817793" w:rsidRDefault="002719FC" w:rsidP="00020252">
      <w:pPr>
        <w:spacing w:before="120" w:after="120" w:line="240" w:lineRule="auto"/>
        <w:rPr>
          <w:smallCaps/>
        </w:rPr>
      </w:pPr>
      <w:r>
        <w:rPr>
          <w:smallCaps/>
        </w:rPr>
        <w:lastRenderedPageBreak/>
        <w:t>Legenda: (*) Os pacientes estavam em tratamento estável com pelo menos um dos seguintes medicamentos: Corticosteroides orais (como a prednisona) ou equivalente</w:t>
      </w:r>
      <w:r w:rsidR="00020252">
        <w:rPr>
          <w:smallCaps/>
        </w:rPr>
        <w:t>;</w:t>
      </w:r>
      <w:r>
        <w:rPr>
          <w:smallCaps/>
        </w:rPr>
        <w:t xml:space="preserve"> Antimaláricos (como a hidroxicloroquina)</w:t>
      </w:r>
      <w:r w:rsidR="00020252">
        <w:rPr>
          <w:smallCaps/>
        </w:rPr>
        <w:t>;</w:t>
      </w:r>
      <w:r>
        <w:rPr>
          <w:smallCaps/>
        </w:rPr>
        <w:t xml:space="preserve"> Imunossupressores </w:t>
      </w:r>
      <w:r w:rsidR="00020252">
        <w:rPr>
          <w:smallCaps/>
        </w:rPr>
        <w:t>(</w:t>
      </w:r>
      <w:r>
        <w:rPr>
          <w:smallCaps/>
        </w:rPr>
        <w:t xml:space="preserve">incluindo: </w:t>
      </w:r>
      <w:proofErr w:type="spellStart"/>
      <w:r>
        <w:rPr>
          <w:smallCaps/>
        </w:rPr>
        <w:t>Azatioprina</w:t>
      </w:r>
      <w:proofErr w:type="spellEnd"/>
      <w:r>
        <w:rPr>
          <w:smallCaps/>
        </w:rPr>
        <w:t xml:space="preserve">, </w:t>
      </w:r>
      <w:proofErr w:type="spellStart"/>
      <w:r>
        <w:rPr>
          <w:smallCaps/>
        </w:rPr>
        <w:t>Mizoribina</w:t>
      </w:r>
      <w:proofErr w:type="spellEnd"/>
      <w:r>
        <w:rPr>
          <w:smallCaps/>
        </w:rPr>
        <w:t xml:space="preserve">, </w:t>
      </w:r>
      <w:proofErr w:type="spellStart"/>
      <w:r>
        <w:rPr>
          <w:smallCaps/>
        </w:rPr>
        <w:t>Micofenolato</w:t>
      </w:r>
      <w:proofErr w:type="spellEnd"/>
      <w:r>
        <w:rPr>
          <w:smallCaps/>
        </w:rPr>
        <w:t xml:space="preserve"> </w:t>
      </w:r>
      <w:proofErr w:type="spellStart"/>
      <w:r>
        <w:rPr>
          <w:smallCaps/>
        </w:rPr>
        <w:t>mofetil</w:t>
      </w:r>
      <w:proofErr w:type="spellEnd"/>
      <w:r>
        <w:rPr>
          <w:smallCaps/>
        </w:rPr>
        <w:t xml:space="preserve"> ou ácido </w:t>
      </w:r>
      <w:proofErr w:type="spellStart"/>
      <w:r>
        <w:rPr>
          <w:smallCaps/>
        </w:rPr>
        <w:t>micofenólico</w:t>
      </w:r>
      <w:proofErr w:type="spellEnd"/>
      <w:r>
        <w:rPr>
          <w:smallCaps/>
        </w:rPr>
        <w:t>, Metotrexato</w:t>
      </w:r>
      <w:r w:rsidR="00020252">
        <w:rPr>
          <w:smallCaps/>
        </w:rPr>
        <w:t>)</w:t>
      </w:r>
      <w:r>
        <w:rPr>
          <w:smallCaps/>
        </w:rPr>
        <w:t>.</w:t>
      </w:r>
    </w:p>
    <w:p w14:paraId="47341341" w14:textId="77777777" w:rsidR="00817793" w:rsidRDefault="00817793">
      <w:pPr>
        <w:pStyle w:val="Ttulo3"/>
        <w:jc w:val="center"/>
        <w:rPr>
          <w:b/>
        </w:rPr>
      </w:pPr>
      <w:bookmarkStart w:id="37" w:name="_hhg8p5cjowyy" w:colFirst="0" w:colLast="0"/>
      <w:bookmarkEnd w:id="37"/>
    </w:p>
    <w:p w14:paraId="2B426ABC" w14:textId="77777777" w:rsidR="00817793" w:rsidRDefault="002719FC">
      <w:pPr>
        <w:pStyle w:val="Ttulo3"/>
        <w:jc w:val="center"/>
        <w:rPr>
          <w:smallCaps/>
        </w:rPr>
      </w:pPr>
      <w:bookmarkStart w:id="38" w:name="_58qydynig028" w:colFirst="0" w:colLast="0"/>
      <w:bookmarkEnd w:id="38"/>
      <w:r>
        <w:rPr>
          <w:b/>
        </w:rPr>
        <w:t>Figura 3.</w:t>
      </w:r>
      <w:r>
        <w:t xml:space="preserve">  Risco de viés versão do PARECERISTA.</w:t>
      </w:r>
      <w:r>
        <w:rPr>
          <w:smallCaps/>
          <w:noProof/>
        </w:rPr>
        <w:drawing>
          <wp:inline distT="114300" distB="114300" distL="114300" distR="114300" wp14:anchorId="64B93E25" wp14:editId="07777777">
            <wp:extent cx="6277293" cy="4287173"/>
            <wp:effectExtent l="0" t="0" r="0" b="0"/>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
                    <a:srcRect/>
                    <a:stretch>
                      <a:fillRect/>
                    </a:stretch>
                  </pic:blipFill>
                  <pic:spPr>
                    <a:xfrm>
                      <a:off x="0" y="0"/>
                      <a:ext cx="6277293" cy="4287173"/>
                    </a:xfrm>
                    <a:prstGeom prst="rect">
                      <a:avLst/>
                    </a:prstGeom>
                    <a:ln/>
                  </pic:spPr>
                </pic:pic>
              </a:graphicData>
            </a:graphic>
          </wp:inline>
        </w:drawing>
      </w:r>
    </w:p>
    <w:p w14:paraId="42EF2083" w14:textId="77777777" w:rsidR="00817793" w:rsidRDefault="00817793">
      <w:pPr>
        <w:spacing w:before="0" w:after="0" w:line="240" w:lineRule="auto"/>
        <w:rPr>
          <w:smallCaps/>
        </w:rPr>
      </w:pPr>
    </w:p>
    <w:p w14:paraId="5ECD92E0" w14:textId="77777777" w:rsidR="00020252" w:rsidRDefault="00020252">
      <w:pPr>
        <w:spacing w:before="0" w:after="0" w:line="240" w:lineRule="auto"/>
        <w:rPr>
          <w:smallCaps/>
        </w:rPr>
      </w:pPr>
    </w:p>
    <w:p w14:paraId="00F7314E" w14:textId="77777777" w:rsidR="00020252" w:rsidRDefault="00020252">
      <w:pPr>
        <w:spacing w:before="0" w:after="0" w:line="240" w:lineRule="auto"/>
        <w:rPr>
          <w:smallCaps/>
        </w:rPr>
      </w:pPr>
    </w:p>
    <w:p w14:paraId="5F41ECA9" w14:textId="77777777" w:rsidR="00020252" w:rsidRDefault="00020252">
      <w:pPr>
        <w:spacing w:before="0" w:after="0" w:line="240" w:lineRule="auto"/>
        <w:rPr>
          <w:smallCaps/>
        </w:rPr>
      </w:pPr>
    </w:p>
    <w:tbl>
      <w:tblPr>
        <w:tblStyle w:val="afa"/>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76C32BAC" w14:textId="77777777">
        <w:trPr>
          <w:trHeight w:val="416"/>
        </w:trPr>
        <w:tc>
          <w:tcPr>
            <w:tcW w:w="9072" w:type="dxa"/>
            <w:shd w:val="clear" w:color="auto" w:fill="D9E2F3"/>
            <w:vAlign w:val="center"/>
          </w:tcPr>
          <w:p w14:paraId="70D9A1D0" w14:textId="77777777" w:rsidR="00817793" w:rsidRDefault="002719FC">
            <w:pPr>
              <w:spacing w:before="120" w:after="120" w:line="240" w:lineRule="auto"/>
              <w:jc w:val="center"/>
              <w:rPr>
                <w:b/>
              </w:rPr>
            </w:pPr>
            <w:r>
              <w:rPr>
                <w:b/>
              </w:rPr>
              <w:lastRenderedPageBreak/>
              <w:t>Comentários gerais sobre a avaliação do risco de viés ou qualidade metodológica dos estudos incluídos</w:t>
            </w:r>
          </w:p>
        </w:tc>
      </w:tr>
      <w:tr w:rsidR="00817793" w14:paraId="0294815D" w14:textId="77777777">
        <w:trPr>
          <w:trHeight w:val="750"/>
        </w:trPr>
        <w:tc>
          <w:tcPr>
            <w:tcW w:w="9072" w:type="dxa"/>
            <w:vAlign w:val="center"/>
          </w:tcPr>
          <w:p w14:paraId="0A76551D" w14:textId="77777777" w:rsidR="00817793" w:rsidRDefault="002719FC">
            <w:pPr>
              <w:spacing w:before="120" w:after="120" w:line="240" w:lineRule="auto"/>
            </w:pPr>
            <w:r>
              <w:t>O proponente classificou os ensaios clínicos randomizados TULIP-1, TULIP-2 e TULIP-LTE como tendo baixo risco de viés em todos os desfechos analisados.</w:t>
            </w:r>
          </w:p>
          <w:p w14:paraId="3B779329" w14:textId="77777777" w:rsidR="00817793" w:rsidRDefault="002719FC">
            <w:pPr>
              <w:spacing w:before="120" w:after="120" w:line="240" w:lineRule="auto"/>
            </w:pPr>
            <w:r>
              <w:t xml:space="preserve">Na avaliação dos pareceristas, dentre 12 desfechos avaliados, 7 foram considerados como baixo risco de viés. Entretanto os pareceristas avaliaram 4 desfechos como “algumas preocupações” [Redução de corticosteroides (TULIP-1 e TULIP-2), CLASI (TULIP-2), Eventos adversos (TULIP-2)] e 1 desfecho como alto risco de viés [BICLA (TULIP-2)]; isso ocorreu devido a penalizações nos domínios dados faltantes e viés na seleção dos dados reportados. </w:t>
            </w:r>
          </w:p>
        </w:tc>
      </w:tr>
    </w:tbl>
    <w:p w14:paraId="7B40C951" w14:textId="77777777" w:rsidR="00817793" w:rsidRDefault="00817793">
      <w:pPr>
        <w:rPr>
          <w:smallCaps/>
          <w:highlight w:val="cyan"/>
        </w:rPr>
      </w:pPr>
    </w:p>
    <w:p w14:paraId="4B4D7232" w14:textId="77777777" w:rsidR="00817793" w:rsidRDefault="002719FC">
      <w:pPr>
        <w:rPr>
          <w:b/>
          <w:sz w:val="24"/>
          <w:szCs w:val="24"/>
        </w:rPr>
      </w:pPr>
      <w:r>
        <w:br w:type="page"/>
      </w:r>
    </w:p>
    <w:p w14:paraId="46E14C25" w14:textId="77777777" w:rsidR="00817793" w:rsidRDefault="002719FC">
      <w:pPr>
        <w:rPr>
          <w:b/>
          <w:sz w:val="24"/>
          <w:szCs w:val="24"/>
        </w:rPr>
      </w:pPr>
      <w:r>
        <w:rPr>
          <w:b/>
          <w:sz w:val="24"/>
          <w:szCs w:val="24"/>
        </w:rPr>
        <w:lastRenderedPageBreak/>
        <w:t xml:space="preserve">5.5.4 Certeza no conjunto final das evidências </w:t>
      </w:r>
    </w:p>
    <w:p w14:paraId="0C2D6616" w14:textId="77777777" w:rsidR="00817793" w:rsidRDefault="002719FC">
      <w:pPr>
        <w:pStyle w:val="Ttulo4"/>
        <w:spacing w:before="0" w:after="160" w:line="259" w:lineRule="auto"/>
        <w:rPr>
          <w:i/>
          <w:color w:val="FF0000"/>
        </w:rPr>
      </w:pPr>
      <w:bookmarkStart w:id="39" w:name="_mijy34wwo7hd" w:colFirst="0" w:colLast="0"/>
      <w:bookmarkEnd w:id="39"/>
      <w:r>
        <w:rPr>
          <w:b/>
        </w:rPr>
        <w:t>Quadro 17.</w:t>
      </w:r>
      <w:r>
        <w:t xml:space="preserve"> Avaliação da certeza no conjunto final das evidências (abordagem GRADE) apresentada pelo PROPONENTE </w:t>
      </w:r>
    </w:p>
    <w:p w14:paraId="2093CA67" w14:textId="77777777" w:rsidR="00817793" w:rsidRDefault="002719FC">
      <w:r>
        <w:rPr>
          <w:noProof/>
        </w:rPr>
        <w:drawing>
          <wp:inline distT="114300" distB="114300" distL="114300" distR="114300" wp14:anchorId="294D1A48" wp14:editId="07777777">
            <wp:extent cx="5759140" cy="2032000"/>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5759140" cy="2032000"/>
                    </a:xfrm>
                    <a:prstGeom prst="rect">
                      <a:avLst/>
                    </a:prstGeom>
                    <a:ln/>
                  </pic:spPr>
                </pic:pic>
              </a:graphicData>
            </a:graphic>
          </wp:inline>
        </w:drawing>
      </w:r>
    </w:p>
    <w:p w14:paraId="2503B197" w14:textId="77777777" w:rsidR="00817793" w:rsidRDefault="002719FC">
      <w:r>
        <w:rPr>
          <w:noProof/>
        </w:rPr>
        <w:drawing>
          <wp:inline distT="114300" distB="114300" distL="114300" distR="114300" wp14:anchorId="5E0A6DE4" wp14:editId="07777777">
            <wp:extent cx="5759140" cy="4203700"/>
            <wp:effectExtent l="0" t="0" r="0" b="0"/>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5759140" cy="4203700"/>
                    </a:xfrm>
                    <a:prstGeom prst="rect">
                      <a:avLst/>
                    </a:prstGeom>
                    <a:ln/>
                  </pic:spPr>
                </pic:pic>
              </a:graphicData>
            </a:graphic>
          </wp:inline>
        </w:drawing>
      </w:r>
    </w:p>
    <w:p w14:paraId="38288749" w14:textId="77777777" w:rsidR="00817793" w:rsidRDefault="00817793">
      <w:pPr>
        <w:sectPr w:rsidR="00817793">
          <w:headerReference w:type="default" r:id="rId22"/>
          <w:footerReference w:type="default" r:id="rId23"/>
          <w:pgSz w:w="11906" w:h="16838"/>
          <w:pgMar w:top="2115" w:right="1418" w:bottom="1134" w:left="1418" w:header="709" w:footer="709" w:gutter="0"/>
          <w:pgNumType w:start="5"/>
          <w:cols w:space="720"/>
        </w:sectPr>
      </w:pPr>
    </w:p>
    <w:p w14:paraId="2D91922E" w14:textId="77777777" w:rsidR="00817793" w:rsidRDefault="002719FC">
      <w:pPr>
        <w:pStyle w:val="Ttulo4"/>
        <w:spacing w:before="0" w:after="160" w:line="259" w:lineRule="auto"/>
        <w:jc w:val="left"/>
        <w:rPr>
          <w:smallCaps/>
        </w:rPr>
        <w:sectPr w:rsidR="00817793">
          <w:pgSz w:w="16838" w:h="11906" w:orient="landscape"/>
          <w:pgMar w:top="2115" w:right="1418" w:bottom="1134" w:left="1418" w:header="709" w:footer="709" w:gutter="0"/>
          <w:cols w:space="720"/>
        </w:sectPr>
      </w:pPr>
      <w:bookmarkStart w:id="40" w:name="_pd0chjtfp5y2" w:colFirst="0" w:colLast="0"/>
      <w:bookmarkEnd w:id="40"/>
      <w:r>
        <w:rPr>
          <w:b/>
        </w:rPr>
        <w:lastRenderedPageBreak/>
        <w:t>Quadro 18</w:t>
      </w:r>
      <w:r>
        <w:t>. Avaliação da certeza no conjunto final das evidências (abordagem GRADE) apresentada na análise do PARECERISTA</w:t>
      </w:r>
      <w:r>
        <w:rPr>
          <w:noProof/>
        </w:rPr>
        <w:drawing>
          <wp:anchor distT="114300" distB="114300" distL="114300" distR="114300" simplePos="0" relativeHeight="251658245" behindDoc="0" locked="0" layoutInCell="1" hidden="0" allowOverlap="1" wp14:anchorId="3D65688E" wp14:editId="07777777">
            <wp:simplePos x="0" y="0"/>
            <wp:positionH relativeFrom="column">
              <wp:posOffset>-657224</wp:posOffset>
            </wp:positionH>
            <wp:positionV relativeFrom="paragraph">
              <wp:posOffset>310881</wp:posOffset>
            </wp:positionV>
            <wp:extent cx="9602181" cy="5215539"/>
            <wp:effectExtent l="0" t="0" r="0" b="0"/>
            <wp:wrapTopAndBottom distT="114300" distB="11430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9602181" cy="5215539"/>
                    </a:xfrm>
                    <a:prstGeom prst="rect">
                      <a:avLst/>
                    </a:prstGeom>
                    <a:ln/>
                  </pic:spPr>
                </pic:pic>
              </a:graphicData>
            </a:graphic>
          </wp:anchor>
        </w:drawing>
      </w:r>
    </w:p>
    <w:p w14:paraId="1510C9ED" w14:textId="77777777" w:rsidR="00817793" w:rsidRDefault="002719FC">
      <w:pPr>
        <w:spacing w:line="240" w:lineRule="auto"/>
        <w:rPr>
          <w:b/>
          <w:smallCaps/>
        </w:rPr>
      </w:pPr>
      <w:r>
        <w:rPr>
          <w:b/>
          <w:smallCaps/>
        </w:rPr>
        <w:lastRenderedPageBreak/>
        <w:t>Explicações referentes ao quadro 18 (Grade)</w:t>
      </w:r>
    </w:p>
    <w:p w14:paraId="6CA35BC8" w14:textId="77777777" w:rsidR="00817793" w:rsidRDefault="002719FC">
      <w:pPr>
        <w:spacing w:line="240" w:lineRule="auto"/>
        <w:rPr>
          <w:smallCaps/>
          <w:sz w:val="16"/>
          <w:szCs w:val="16"/>
        </w:rPr>
      </w:pPr>
      <w:r>
        <w:rPr>
          <w:smallCaps/>
          <w:sz w:val="16"/>
          <w:szCs w:val="16"/>
        </w:rPr>
        <w:t>a. A população incluída nos ensaios clínicos não corresponde integralmente a pacientes em terapia tripla. Os critérios de inclusão dos estudos indicam que os participantes poderiam estar utilizando, no mínimo, um dos medicamentos listados. Além disso, os resultados apresentados na análise não foram reportados de forma desagregada, impossibilitando a distinção entre pacientes em terapia única, dupla ou tripla.</w:t>
      </w:r>
    </w:p>
    <w:p w14:paraId="51AE69EA" w14:textId="77777777" w:rsidR="00817793" w:rsidRDefault="002719FC">
      <w:pPr>
        <w:spacing w:line="240" w:lineRule="auto"/>
        <w:rPr>
          <w:smallCaps/>
          <w:sz w:val="16"/>
          <w:szCs w:val="16"/>
        </w:rPr>
      </w:pPr>
      <w:r>
        <w:rPr>
          <w:smallCaps/>
          <w:sz w:val="16"/>
          <w:szCs w:val="16"/>
        </w:rPr>
        <w:t xml:space="preserve">b. Não houve diferença significativa no SRI-4 entre </w:t>
      </w:r>
      <w:proofErr w:type="spellStart"/>
      <w:r>
        <w:rPr>
          <w:smallCaps/>
          <w:sz w:val="16"/>
          <w:szCs w:val="16"/>
        </w:rPr>
        <w:t>anifrolumabe</w:t>
      </w:r>
      <w:proofErr w:type="spellEnd"/>
      <w:r>
        <w:rPr>
          <w:smallCaps/>
          <w:sz w:val="16"/>
          <w:szCs w:val="16"/>
        </w:rPr>
        <w:t xml:space="preserve"> 300 mg (36%) e placebo + terapia </w:t>
      </w:r>
      <w:proofErr w:type="gramStart"/>
      <w:r>
        <w:rPr>
          <w:smallCaps/>
          <w:sz w:val="16"/>
          <w:szCs w:val="16"/>
        </w:rPr>
        <w:t>padrão(</w:t>
      </w:r>
      <w:proofErr w:type="gramEnd"/>
      <w:r>
        <w:rPr>
          <w:smallCaps/>
          <w:sz w:val="16"/>
          <w:szCs w:val="16"/>
        </w:rPr>
        <w:t>*) (40%) na semana 52 (p=0,412).</w:t>
      </w:r>
    </w:p>
    <w:p w14:paraId="22AF7FAD" w14:textId="77777777" w:rsidR="00817793" w:rsidRDefault="002719FC">
      <w:pPr>
        <w:spacing w:line="240" w:lineRule="auto"/>
        <w:rPr>
          <w:smallCaps/>
          <w:sz w:val="16"/>
          <w:szCs w:val="16"/>
        </w:rPr>
      </w:pPr>
      <w:r>
        <w:rPr>
          <w:smallCaps/>
          <w:sz w:val="16"/>
          <w:szCs w:val="16"/>
        </w:rPr>
        <w:t>c. O ECR TULIP-2 apresentou risco de viés grave devido a penalização nos domínios viés devido a dados faltantes e viés devido a seleção de desfechos relatados.</w:t>
      </w:r>
    </w:p>
    <w:p w14:paraId="5F355297" w14:textId="77777777" w:rsidR="00817793" w:rsidRDefault="002719FC">
      <w:pPr>
        <w:spacing w:line="240" w:lineRule="auto"/>
        <w:rPr>
          <w:smallCaps/>
          <w:sz w:val="16"/>
          <w:szCs w:val="16"/>
        </w:rPr>
      </w:pPr>
      <w:r>
        <w:rPr>
          <w:smallCaps/>
          <w:sz w:val="16"/>
          <w:szCs w:val="16"/>
        </w:rPr>
        <w:t xml:space="preserve">d. Os </w:t>
      </w:r>
      <w:proofErr w:type="spellStart"/>
      <w:r>
        <w:rPr>
          <w:smallCaps/>
          <w:sz w:val="16"/>
          <w:szCs w:val="16"/>
        </w:rPr>
        <w:t>ECRs</w:t>
      </w:r>
      <w:proofErr w:type="spellEnd"/>
      <w:r>
        <w:rPr>
          <w:smallCaps/>
          <w:sz w:val="16"/>
          <w:szCs w:val="16"/>
        </w:rPr>
        <w:t xml:space="preserve"> TULIP-1 e TULIP-LTE demonstram uma maior taxa de eventos adversos para o grupo placebo + terapia </w:t>
      </w:r>
      <w:proofErr w:type="gramStart"/>
      <w:r>
        <w:rPr>
          <w:smallCaps/>
          <w:sz w:val="16"/>
          <w:szCs w:val="16"/>
        </w:rPr>
        <w:t>padrão(</w:t>
      </w:r>
      <w:proofErr w:type="gramEnd"/>
      <w:r>
        <w:rPr>
          <w:smallCaps/>
          <w:sz w:val="16"/>
          <w:szCs w:val="16"/>
        </w:rPr>
        <w:t>*), enquanto o TULIP-2 demonstra uma direção de efeito oposta.</w:t>
      </w:r>
    </w:p>
    <w:p w14:paraId="4582DA82" w14:textId="77777777" w:rsidR="00817793" w:rsidRDefault="002719FC">
      <w:pPr>
        <w:spacing w:line="240" w:lineRule="auto"/>
        <w:rPr>
          <w:smallCaps/>
          <w:sz w:val="16"/>
          <w:szCs w:val="16"/>
        </w:rPr>
      </w:pPr>
      <w:r>
        <w:rPr>
          <w:smallCaps/>
          <w:sz w:val="16"/>
          <w:szCs w:val="16"/>
        </w:rPr>
        <w:t>e. O ECR TULIP-1 apresentou risco de viés com algumas preocupações no domínio viés devido a seleção dos dados relatados. E o ECR TULIP-2 apresentou risco de viés com algumas preocupações devido a dados faltantes</w:t>
      </w:r>
    </w:p>
    <w:p w14:paraId="2B85DA70" w14:textId="77777777" w:rsidR="00817793" w:rsidRDefault="002719FC">
      <w:pPr>
        <w:spacing w:line="240" w:lineRule="auto"/>
        <w:rPr>
          <w:smallCaps/>
          <w:sz w:val="16"/>
          <w:szCs w:val="16"/>
        </w:rPr>
      </w:pPr>
      <w:r>
        <w:rPr>
          <w:smallCaps/>
          <w:sz w:val="16"/>
          <w:szCs w:val="16"/>
        </w:rPr>
        <w:t xml:space="preserve">f. No ECR TULIP-1 não há diferença significativa na redução sustentada do uso de corticosteroide entre </w:t>
      </w:r>
      <w:proofErr w:type="spellStart"/>
      <w:r>
        <w:rPr>
          <w:smallCaps/>
          <w:sz w:val="16"/>
          <w:szCs w:val="16"/>
        </w:rPr>
        <w:t>anifrolumabe</w:t>
      </w:r>
      <w:proofErr w:type="spellEnd"/>
      <w:r>
        <w:rPr>
          <w:smallCaps/>
          <w:sz w:val="16"/>
          <w:szCs w:val="16"/>
        </w:rPr>
        <w:t xml:space="preserve"> 300mg (41%) e placebo + terapia </w:t>
      </w:r>
      <w:proofErr w:type="gramStart"/>
      <w:r>
        <w:rPr>
          <w:smallCaps/>
          <w:sz w:val="16"/>
          <w:szCs w:val="16"/>
        </w:rPr>
        <w:t>padrão(</w:t>
      </w:r>
      <w:proofErr w:type="gramEnd"/>
      <w:r>
        <w:rPr>
          <w:smallCaps/>
          <w:sz w:val="16"/>
          <w:szCs w:val="16"/>
        </w:rPr>
        <w:t>*) (32%) (p=0,180).</w:t>
      </w:r>
    </w:p>
    <w:p w14:paraId="7B3A0C5F" w14:textId="77777777" w:rsidR="00817793" w:rsidRDefault="002719FC">
      <w:pPr>
        <w:spacing w:line="240" w:lineRule="auto"/>
        <w:rPr>
          <w:smallCaps/>
          <w:sz w:val="16"/>
          <w:szCs w:val="16"/>
        </w:rPr>
      </w:pPr>
      <w:r>
        <w:rPr>
          <w:smallCaps/>
          <w:sz w:val="16"/>
          <w:szCs w:val="16"/>
        </w:rPr>
        <w:t xml:space="preserve">g. No ECR TULIP-1 não há diferença significativa na melhoria das manifestações cutâneas entre </w:t>
      </w:r>
      <w:proofErr w:type="spellStart"/>
      <w:r>
        <w:rPr>
          <w:smallCaps/>
          <w:sz w:val="16"/>
          <w:szCs w:val="16"/>
        </w:rPr>
        <w:t>anifrolumabe</w:t>
      </w:r>
      <w:proofErr w:type="spellEnd"/>
      <w:r>
        <w:rPr>
          <w:smallCaps/>
          <w:sz w:val="16"/>
          <w:szCs w:val="16"/>
        </w:rPr>
        <w:t xml:space="preserve"> 300mg (42%) e placebo + terapia </w:t>
      </w:r>
      <w:proofErr w:type="gramStart"/>
      <w:r>
        <w:rPr>
          <w:smallCaps/>
          <w:sz w:val="16"/>
          <w:szCs w:val="16"/>
        </w:rPr>
        <w:t>padrão(</w:t>
      </w:r>
      <w:proofErr w:type="gramEnd"/>
      <w:r>
        <w:rPr>
          <w:smallCaps/>
          <w:sz w:val="16"/>
          <w:szCs w:val="16"/>
        </w:rPr>
        <w:t>*) (25%) (p=0,054).</w:t>
      </w:r>
    </w:p>
    <w:p w14:paraId="20BD9A1A" w14:textId="0D7A3DF3" w:rsidR="00817793" w:rsidRDefault="002719FC">
      <w:pPr>
        <w:spacing w:line="240" w:lineRule="auto"/>
        <w:rPr>
          <w:smallCaps/>
          <w:sz w:val="16"/>
          <w:szCs w:val="16"/>
        </w:rPr>
      </w:pPr>
      <w:r>
        <w:rPr>
          <w:smallCaps/>
          <w:sz w:val="16"/>
          <w:szCs w:val="16"/>
        </w:rPr>
        <w:t xml:space="preserve">h. ECR TULIP-LTE, para o desfecho da atividade da doença não há diferença estatística entre o grupo </w:t>
      </w:r>
      <w:proofErr w:type="spellStart"/>
      <w:r>
        <w:rPr>
          <w:smallCaps/>
          <w:sz w:val="16"/>
          <w:szCs w:val="16"/>
        </w:rPr>
        <w:t>anifrolumabe</w:t>
      </w:r>
      <w:proofErr w:type="spellEnd"/>
      <w:r>
        <w:rPr>
          <w:smallCaps/>
          <w:sz w:val="16"/>
          <w:szCs w:val="16"/>
        </w:rPr>
        <w:t xml:space="preserve"> e placebo + terapia </w:t>
      </w:r>
      <w:proofErr w:type="gramStart"/>
      <w:r>
        <w:rPr>
          <w:smallCaps/>
          <w:sz w:val="16"/>
          <w:szCs w:val="16"/>
        </w:rPr>
        <w:t>padrão(</w:t>
      </w:r>
      <w:proofErr w:type="gramEnd"/>
      <w:r>
        <w:rPr>
          <w:smallCaps/>
          <w:sz w:val="16"/>
          <w:szCs w:val="16"/>
        </w:rPr>
        <w:t>*).</w:t>
      </w:r>
      <w:r>
        <w:br w:type="page"/>
      </w:r>
    </w:p>
    <w:tbl>
      <w:tblPr>
        <w:tblStyle w:val="afb"/>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D7371C7" w14:textId="77777777">
        <w:trPr>
          <w:trHeight w:val="416"/>
        </w:trPr>
        <w:tc>
          <w:tcPr>
            <w:tcW w:w="9072" w:type="dxa"/>
            <w:shd w:val="clear" w:color="auto" w:fill="D9E2F3"/>
            <w:vAlign w:val="center"/>
          </w:tcPr>
          <w:p w14:paraId="0A300352" w14:textId="77777777" w:rsidR="00817793" w:rsidRDefault="002719FC">
            <w:pPr>
              <w:spacing w:before="120" w:after="120" w:line="240" w:lineRule="auto"/>
              <w:jc w:val="center"/>
              <w:rPr>
                <w:b/>
              </w:rPr>
            </w:pPr>
            <w:bookmarkStart w:id="41" w:name="_2xcytpi" w:colFirst="0" w:colLast="0"/>
            <w:bookmarkEnd w:id="41"/>
            <w:r>
              <w:rPr>
                <w:b/>
              </w:rPr>
              <w:lastRenderedPageBreak/>
              <w:t>Comentários gerais sobre a avaliação da certeza no conjunto final das evidências</w:t>
            </w:r>
          </w:p>
        </w:tc>
      </w:tr>
      <w:tr w:rsidR="00817793" w14:paraId="4F2A5A3C" w14:textId="77777777">
        <w:trPr>
          <w:trHeight w:val="750"/>
        </w:trPr>
        <w:tc>
          <w:tcPr>
            <w:tcW w:w="9072" w:type="dxa"/>
            <w:vAlign w:val="center"/>
          </w:tcPr>
          <w:p w14:paraId="57CE3AF9" w14:textId="77777777" w:rsidR="00817793" w:rsidRDefault="002719FC">
            <w:pPr>
              <w:spacing w:before="120" w:after="120"/>
              <w:rPr>
                <w:u w:val="single"/>
              </w:rPr>
            </w:pPr>
            <w:r>
              <w:rPr>
                <w:u w:val="single"/>
              </w:rPr>
              <w:t xml:space="preserve">Classificação da certeza da evidência de acordo com o GRADE </w:t>
            </w:r>
            <w:proofErr w:type="spellStart"/>
            <w:r w:rsidRPr="00020252">
              <w:rPr>
                <w:i/>
                <w:iCs/>
                <w:u w:val="single"/>
              </w:rPr>
              <w:t>Working</w:t>
            </w:r>
            <w:proofErr w:type="spellEnd"/>
            <w:r w:rsidRPr="00020252">
              <w:rPr>
                <w:i/>
                <w:iCs/>
                <w:u w:val="single"/>
              </w:rPr>
              <w:t xml:space="preserve"> </w:t>
            </w:r>
            <w:proofErr w:type="spellStart"/>
            <w:r w:rsidRPr="00020252">
              <w:rPr>
                <w:i/>
                <w:iCs/>
                <w:u w:val="single"/>
              </w:rPr>
              <w:t>Group</w:t>
            </w:r>
            <w:proofErr w:type="spellEnd"/>
            <w:r>
              <w:rPr>
                <w:u w:val="single"/>
              </w:rPr>
              <w:t xml:space="preserve"> </w:t>
            </w:r>
          </w:p>
          <w:p w14:paraId="611968CA" w14:textId="77777777" w:rsidR="00817793" w:rsidRDefault="002719FC">
            <w:pPr>
              <w:spacing w:before="120" w:after="120"/>
            </w:pPr>
            <w:r>
              <w:t>Alta: estamos muito confiantes de que o efeito verdadeiro esteja próximo ao da estimativa do efeito</w:t>
            </w:r>
          </w:p>
          <w:p w14:paraId="5F47E758" w14:textId="77777777" w:rsidR="00817793" w:rsidRDefault="002719FC">
            <w:pPr>
              <w:spacing w:before="120" w:after="120"/>
            </w:pPr>
            <w:r>
              <w:t>Moderada: estamos moderadamente confiantes na estimativa do efeito: é provável que o efeito verdadeiro seja próximo da estimativa do efeito, mas existe a possibilidade de que seja substancialmente diferente.</w:t>
            </w:r>
          </w:p>
          <w:p w14:paraId="44439083" w14:textId="77777777" w:rsidR="00817793" w:rsidRDefault="002719FC">
            <w:pPr>
              <w:spacing w:before="120" w:after="120"/>
            </w:pPr>
            <w:r>
              <w:t>Baixa: nossa confiança na estimativa do efeito é limitada: O efeito real pode ser substancialmente diferente da estimativa do efeito</w:t>
            </w:r>
          </w:p>
          <w:p w14:paraId="625921BE" w14:textId="77777777" w:rsidR="00817793" w:rsidRDefault="002719FC">
            <w:pPr>
              <w:spacing w:before="120" w:after="120"/>
            </w:pPr>
            <w:r>
              <w:t>Muito baixa: temos muito pouca confiança na estimativa do efeito: o efeito verdadeiro provavelmente será substancialmente diferente da estimativa do efeito.</w:t>
            </w:r>
          </w:p>
          <w:p w14:paraId="0B3B53EA" w14:textId="77777777" w:rsidR="00817793" w:rsidRDefault="002719FC">
            <w:pPr>
              <w:spacing w:before="120" w:after="120"/>
            </w:pPr>
            <w:r>
              <w:t>O proponente realizou a avaliação de todos os desfechos utilizando o sistema GRADE, atribuindo-lhes alta certeza de evidência, com exceção do desfecho "eventos adversos graves", que foi classificado como de moderada certeza de evidência.</w:t>
            </w:r>
          </w:p>
          <w:p w14:paraId="4D0E8705" w14:textId="7F14682B" w:rsidR="00817793" w:rsidRDefault="002719FC">
            <w:pPr>
              <w:spacing w:before="120" w:after="120"/>
            </w:pPr>
            <w:r>
              <w:t>Os pareceristas avaliaram a maioria dos desfechos como baixa certeza da evidência, com exceção do desfecho redução de corticosteroides</w:t>
            </w:r>
            <w:r w:rsidR="00AC3BB3">
              <w:t>,</w:t>
            </w:r>
            <w:r>
              <w:t xml:space="preserve"> que foi avaliado como muito baixa certeza da evidência, principalmente devido às penalizações realizadas no domínio risco de viés, evidência indireta e imprecisão. </w:t>
            </w:r>
          </w:p>
        </w:tc>
      </w:tr>
    </w:tbl>
    <w:p w14:paraId="0C136CF1" w14:textId="77777777" w:rsidR="00817793" w:rsidRDefault="00817793">
      <w:pPr>
        <w:rPr>
          <w:smallCaps/>
          <w:highlight w:val="cyan"/>
        </w:rPr>
      </w:pPr>
    </w:p>
    <w:p w14:paraId="0A392C6A" w14:textId="77777777" w:rsidR="00817793" w:rsidRDefault="002719FC">
      <w:pPr>
        <w:pStyle w:val="Ttulo2"/>
      </w:pPr>
      <w:bookmarkStart w:id="42" w:name="_qtqiqwmsqm9l" w:colFirst="0" w:colLast="0"/>
      <w:bookmarkEnd w:id="42"/>
      <w:r>
        <w:br w:type="page"/>
      </w:r>
    </w:p>
    <w:p w14:paraId="7C2E861B" w14:textId="77777777" w:rsidR="00817793" w:rsidRDefault="002719FC">
      <w:pPr>
        <w:pStyle w:val="Ttulo2"/>
      </w:pPr>
      <w:bookmarkStart w:id="43" w:name="_1ci93xb" w:colFirst="0" w:colLast="0"/>
      <w:bookmarkEnd w:id="43"/>
      <w:r>
        <w:lastRenderedPageBreak/>
        <w:t>5.6 Discussão e conclusões</w:t>
      </w:r>
    </w:p>
    <w:p w14:paraId="2C4B630F" w14:textId="77777777" w:rsidR="00817793" w:rsidRDefault="002719FC">
      <w:pPr>
        <w:pStyle w:val="Ttulo4"/>
      </w:pPr>
      <w:bookmarkStart w:id="44" w:name="_9697lhna1ygz" w:colFirst="0" w:colLast="0"/>
      <w:bookmarkEnd w:id="44"/>
      <w:r>
        <w:rPr>
          <w:b/>
        </w:rPr>
        <w:t>Quadro 19.</w:t>
      </w:r>
      <w:r>
        <w:t xml:space="preserve"> Componentes da discussão e das conclusões.</w:t>
      </w:r>
    </w:p>
    <w:tbl>
      <w:tblPr>
        <w:tblStyle w:val="afc"/>
        <w:tblW w:w="89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17793" w14:paraId="40EB8965" w14:textId="77777777">
        <w:trPr>
          <w:trHeight w:val="454"/>
          <w:jc w:val="center"/>
        </w:trPr>
        <w:tc>
          <w:tcPr>
            <w:tcW w:w="2046" w:type="dxa"/>
            <w:shd w:val="clear" w:color="auto" w:fill="D9E2F3"/>
          </w:tcPr>
          <w:p w14:paraId="6797AD38" w14:textId="77777777" w:rsidR="00817793" w:rsidRDefault="002719FC">
            <w:pPr>
              <w:spacing w:before="120" w:after="120" w:line="240" w:lineRule="auto"/>
              <w:jc w:val="center"/>
              <w:rPr>
                <w:b/>
              </w:rPr>
            </w:pPr>
            <w:r>
              <w:rPr>
                <w:b/>
              </w:rPr>
              <w:t>Componente</w:t>
            </w:r>
          </w:p>
        </w:tc>
        <w:tc>
          <w:tcPr>
            <w:tcW w:w="2976" w:type="dxa"/>
            <w:shd w:val="clear" w:color="auto" w:fill="D9E2F3"/>
          </w:tcPr>
          <w:p w14:paraId="69BA9906" w14:textId="77777777" w:rsidR="00817793" w:rsidRDefault="002719FC">
            <w:pPr>
              <w:spacing w:before="120" w:after="120" w:line="240" w:lineRule="auto"/>
              <w:jc w:val="center"/>
              <w:rPr>
                <w:b/>
              </w:rPr>
            </w:pPr>
            <w:r>
              <w:rPr>
                <w:b/>
              </w:rPr>
              <w:t>Proponente</w:t>
            </w:r>
          </w:p>
        </w:tc>
        <w:tc>
          <w:tcPr>
            <w:tcW w:w="3885" w:type="dxa"/>
            <w:shd w:val="clear" w:color="auto" w:fill="D9E2F3"/>
          </w:tcPr>
          <w:p w14:paraId="50328433" w14:textId="77777777" w:rsidR="00817793" w:rsidRDefault="002719FC">
            <w:pPr>
              <w:spacing w:before="120" w:after="120" w:line="240" w:lineRule="auto"/>
              <w:jc w:val="center"/>
              <w:rPr>
                <w:b/>
              </w:rPr>
            </w:pPr>
            <w:r>
              <w:rPr>
                <w:b/>
              </w:rPr>
              <w:t>Análise da proposta</w:t>
            </w:r>
          </w:p>
        </w:tc>
      </w:tr>
      <w:tr w:rsidR="00817793" w14:paraId="54DB755F" w14:textId="77777777">
        <w:trPr>
          <w:trHeight w:val="454"/>
          <w:jc w:val="center"/>
        </w:trPr>
        <w:tc>
          <w:tcPr>
            <w:tcW w:w="2046" w:type="dxa"/>
            <w:shd w:val="clear" w:color="auto" w:fill="auto"/>
          </w:tcPr>
          <w:p w14:paraId="53DA6448" w14:textId="77777777" w:rsidR="00817793" w:rsidRDefault="002719FC">
            <w:pPr>
              <w:spacing w:before="120" w:after="120" w:line="240" w:lineRule="auto"/>
              <w:jc w:val="center"/>
              <w:rPr>
                <w:b/>
              </w:rPr>
            </w:pPr>
            <w:r>
              <w:rPr>
                <w:b/>
                <w:color w:val="000000"/>
              </w:rPr>
              <w:t>Sumário da evidência</w:t>
            </w:r>
          </w:p>
        </w:tc>
        <w:tc>
          <w:tcPr>
            <w:tcW w:w="2976" w:type="dxa"/>
            <w:shd w:val="clear" w:color="auto" w:fill="auto"/>
          </w:tcPr>
          <w:p w14:paraId="20AFC1E4" w14:textId="00C57821" w:rsidR="00817793" w:rsidRDefault="002719FC">
            <w:pPr>
              <w:spacing w:before="120" w:after="120" w:line="240" w:lineRule="auto"/>
            </w:pPr>
            <w:r>
              <w:t xml:space="preserve">A revisão sistemática analisou 3 ensaios clínicos (459 pacientes com </w:t>
            </w:r>
            <w:proofErr w:type="spellStart"/>
            <w:r>
              <w:t>anifrolumabe</w:t>
            </w:r>
            <w:proofErr w:type="spellEnd"/>
            <w:r>
              <w:t xml:space="preserve"> 300 mg e 468 com placebo) e 5 revisões sistemáticas, evidenciando a eficácia e segurança do </w:t>
            </w:r>
            <w:proofErr w:type="spellStart"/>
            <w:r>
              <w:t>anifrolumabe</w:t>
            </w:r>
            <w:proofErr w:type="spellEnd"/>
            <w:r>
              <w:t xml:space="preserve"> em pacientes com LES de moderada a alta atividade. O medicamento apresentou maior resposta ao tratamento (BICLA), redução na atividade da doença (LLDAS), melhora nas manifestações cutâneas (CLASI), redução no uso de corticosteroides e menor frequência de eventos adversos graves comparado ao placebo.</w:t>
            </w:r>
          </w:p>
          <w:p w14:paraId="290583F9" w14:textId="77777777" w:rsidR="00817793" w:rsidRDefault="00817793">
            <w:pPr>
              <w:spacing w:before="120" w:after="120" w:line="240" w:lineRule="auto"/>
            </w:pPr>
          </w:p>
          <w:p w14:paraId="329BD878" w14:textId="77777777" w:rsidR="00817793" w:rsidRDefault="002719FC">
            <w:pPr>
              <w:spacing w:before="120" w:after="120" w:line="240" w:lineRule="auto"/>
            </w:pPr>
            <w:r>
              <w:t xml:space="preserve">A resposta pelo BICLA foi significativamente superior ao placebo (OR 2,07; IC 95% 1,57-2,72; alta qualidade), sendo o desfecho primário do estudo TULIP-2, com vantagens sobre o SRI na detecção de melhoras parciais significativas. O </w:t>
            </w:r>
            <w:proofErr w:type="spellStart"/>
            <w:r>
              <w:t>anifrolumabe</w:t>
            </w:r>
            <w:proofErr w:type="spellEnd"/>
            <w:r>
              <w:t xml:space="preserve"> também mostrou superioridade em alcançar baixa atividade da doença (LLDAS) (OR 2,00; IC 95% 1,48-2,71) e reduzir em ≥50% o CLASI basal (OR 2,72; IC 95% 1,58-4,67).</w:t>
            </w:r>
          </w:p>
          <w:p w14:paraId="68F21D90" w14:textId="77777777" w:rsidR="00817793" w:rsidRDefault="00817793">
            <w:pPr>
              <w:spacing w:before="120" w:after="120" w:line="240" w:lineRule="auto"/>
            </w:pPr>
          </w:p>
          <w:p w14:paraId="2D72F58A" w14:textId="77777777" w:rsidR="00817793" w:rsidRDefault="002719FC">
            <w:pPr>
              <w:spacing w:before="120" w:after="120" w:line="240" w:lineRule="auto"/>
            </w:pPr>
            <w:r>
              <w:t xml:space="preserve">Além disso, reduziu significativamente o uso de </w:t>
            </w:r>
            <w:r>
              <w:lastRenderedPageBreak/>
              <w:t>corticosteroides (OR 2,15; IC 95% 1,49-3,10), minimizando os riscos associados ao uso prolongado, como danos orgânicos e complicações metabólicas. O perfil de segurança foi favorável, com menor frequência de eventos adversos graves (OR 0,70; IC 95% 0,48-1,00; qualidade moderada), reforçando sua eficácia e segurança no manejo do LES.</w:t>
            </w:r>
          </w:p>
        </w:tc>
        <w:tc>
          <w:tcPr>
            <w:tcW w:w="3885" w:type="dxa"/>
          </w:tcPr>
          <w:p w14:paraId="518AFA91" w14:textId="77777777" w:rsidR="00817793" w:rsidRDefault="002719FC">
            <w:pPr>
              <w:spacing w:before="120" w:after="120" w:line="240" w:lineRule="auto"/>
            </w:pPr>
            <w:r>
              <w:lastRenderedPageBreak/>
              <w:t>O proponente não apresentou a sumarização dos principais achados com a força da evidência para cada desfecho apresentado.</w:t>
            </w:r>
          </w:p>
          <w:p w14:paraId="192234B5" w14:textId="77777777" w:rsidR="00817793" w:rsidRDefault="002719FC">
            <w:pPr>
              <w:spacing w:before="120" w:after="120" w:line="240" w:lineRule="auto"/>
            </w:pPr>
            <w:r>
              <w:t>Na reanálise realizada pelos pareceristas, foram incluídos três ensaios clínicos: TULIP-1 (</w:t>
            </w:r>
            <w:proofErr w:type="spellStart"/>
            <w:r>
              <w:t>Furie</w:t>
            </w:r>
            <w:proofErr w:type="spellEnd"/>
            <w:r>
              <w:t xml:space="preserve"> et al., 2019), TULIP-2 (Morand et al., 2020) e TULIP-LTE (</w:t>
            </w:r>
            <w:proofErr w:type="spellStart"/>
            <w:r>
              <w:t>Kalunian</w:t>
            </w:r>
            <w:proofErr w:type="spellEnd"/>
            <w:r>
              <w:t xml:space="preserve"> et al., 2023).</w:t>
            </w:r>
          </w:p>
          <w:p w14:paraId="3A0D095B" w14:textId="77777777" w:rsidR="00817793" w:rsidRDefault="002719FC">
            <w:pPr>
              <w:spacing w:before="120" w:after="120" w:line="240" w:lineRule="auto"/>
            </w:pPr>
            <w:r>
              <w:t xml:space="preserve">Desfecho SRI-4: Não houve significância estatística entre os grupos </w:t>
            </w:r>
            <w:proofErr w:type="spellStart"/>
            <w:r>
              <w:t>anifrolumabe</w:t>
            </w:r>
            <w:proofErr w:type="spellEnd"/>
            <w:r>
              <w:t xml:space="preserve"> e placebo + terapia </w:t>
            </w:r>
            <w:proofErr w:type="gramStart"/>
            <w:r>
              <w:t>padrão(</w:t>
            </w:r>
            <w:proofErr w:type="gramEnd"/>
            <w:r>
              <w:t>*) (Diferença -4,2 [IC95% -14,2;5,8] p=0,412), com certeza da evidência classificada como baixa.</w:t>
            </w:r>
          </w:p>
          <w:p w14:paraId="5E43C88A" w14:textId="25A73FA3" w:rsidR="00817793" w:rsidRDefault="002719FC">
            <w:pPr>
              <w:spacing w:before="120" w:after="120" w:line="240" w:lineRule="auto"/>
            </w:pPr>
            <w:r>
              <w:t xml:space="preserve">Desfecho BICLA: Foi favorável ao grupo </w:t>
            </w:r>
            <w:proofErr w:type="spellStart"/>
            <w:r>
              <w:t>anifrolumabe</w:t>
            </w:r>
            <w:proofErr w:type="spellEnd"/>
            <w:r>
              <w:t xml:space="preserve"> nos ensaios TULIP-1 (Diferença 10,1 [0,6;19,7]) e TULIP-2 (Diferença 16,3 [6,3;26,3]</w:t>
            </w:r>
            <w:r w:rsidR="00826382">
              <w:t xml:space="preserve"> </w:t>
            </w:r>
            <w:r>
              <w:t>p=0,001), também com certeza da evidência baixa.</w:t>
            </w:r>
          </w:p>
          <w:p w14:paraId="5DD2FFBC" w14:textId="77777777" w:rsidR="00817793" w:rsidRDefault="002719FC">
            <w:pPr>
              <w:spacing w:before="120" w:after="120" w:line="240" w:lineRule="auto"/>
            </w:pPr>
            <w:r>
              <w:t xml:space="preserve">Eventos adversos graves: A certeza da evidência foi baixa. Dois estudos apresentaram resultados favoráveis ao </w:t>
            </w:r>
            <w:proofErr w:type="spellStart"/>
            <w:r>
              <w:t>anifrolumabe</w:t>
            </w:r>
            <w:proofErr w:type="spellEnd"/>
            <w:r>
              <w:t xml:space="preserve"> (TULIP-LTE: </w:t>
            </w:r>
            <w:proofErr w:type="spellStart"/>
            <w:r>
              <w:t>anifrolumabe</w:t>
            </w:r>
            <w:proofErr w:type="spellEnd"/>
            <w:r>
              <w:t xml:space="preserve"> 300 mg: 22,6% </w:t>
            </w:r>
            <w:r w:rsidRPr="00826382">
              <w:rPr>
                <w:i/>
                <w:iCs/>
              </w:rPr>
              <w:t>versus</w:t>
            </w:r>
            <w:r>
              <w:t xml:space="preserve"> placebo + terapia </w:t>
            </w:r>
            <w:proofErr w:type="gramStart"/>
            <w:r>
              <w:t>padrão(</w:t>
            </w:r>
            <w:proofErr w:type="gramEnd"/>
            <w:r>
              <w:t xml:space="preserve">*): 25%; outro estudo: 14% </w:t>
            </w:r>
            <w:r w:rsidRPr="00826382">
              <w:rPr>
                <w:i/>
                <w:iCs/>
              </w:rPr>
              <w:t>versus</w:t>
            </w:r>
            <w:r>
              <w:t xml:space="preserve"> 16%), </w:t>
            </w:r>
            <w:r w:rsidRPr="00073F7B">
              <w:t xml:space="preserve">enquanto o TULIP-2 mostrou maior frequência de eventos adversos no grupo </w:t>
            </w:r>
            <w:proofErr w:type="spellStart"/>
            <w:r w:rsidRPr="00073F7B">
              <w:t>anifrolumabe</w:t>
            </w:r>
            <w:proofErr w:type="spellEnd"/>
            <w:r w:rsidRPr="00073F7B">
              <w:t xml:space="preserve"> (88,3%) em comparação ao placebo + terapia </w:t>
            </w:r>
            <w:proofErr w:type="gramStart"/>
            <w:r w:rsidRPr="00073F7B">
              <w:t>padrão(</w:t>
            </w:r>
            <w:proofErr w:type="gramEnd"/>
            <w:r w:rsidRPr="00073F7B">
              <w:t>*) (84,1%).</w:t>
            </w:r>
          </w:p>
          <w:p w14:paraId="70954D21" w14:textId="77777777" w:rsidR="00817793" w:rsidRDefault="002719FC">
            <w:pPr>
              <w:spacing w:before="120" w:after="120" w:line="240" w:lineRule="auto"/>
            </w:pPr>
            <w:r>
              <w:t xml:space="preserve">Redução no uso de corticosteroides: A certeza da evidência foi muito baixa. O TULIP-1 não encontrou diferença estatística entre os grupos (diferença: 8,9; IC95% -4,1 a 21,9; p=0,180). Já os estudos TULIP-2 e TULIP-LTE </w:t>
            </w:r>
            <w:r>
              <w:lastRenderedPageBreak/>
              <w:t xml:space="preserve">demonstraram que os pacientes tratados com </w:t>
            </w:r>
            <w:proofErr w:type="spellStart"/>
            <w:r>
              <w:t>anifrolumabe</w:t>
            </w:r>
            <w:proofErr w:type="spellEnd"/>
            <w:r>
              <w:t xml:space="preserve"> reduziram o uso de corticosteroides.</w:t>
            </w:r>
          </w:p>
          <w:p w14:paraId="283166B9" w14:textId="77777777" w:rsidR="00817793" w:rsidRDefault="002719FC">
            <w:pPr>
              <w:spacing w:before="120" w:after="120" w:line="240" w:lineRule="auto"/>
            </w:pPr>
            <w:r>
              <w:t xml:space="preserve">Desfecho CLASI: A certeza da evidência foi baixa. O TULIP-1 não identificou diferença estatística entre os grupos (diferença: 17,0; IC 95% -0,31 a 34,3; p=0,054). Por outro lado, o TULIP-2 mostrou melhores respostas no grupo </w:t>
            </w:r>
            <w:proofErr w:type="spellStart"/>
            <w:r>
              <w:t>anifrolumabe</w:t>
            </w:r>
            <w:proofErr w:type="spellEnd"/>
            <w:r>
              <w:t xml:space="preserve"> (diferença: 24,0; IC 95% 4,3 a 43,6; p=0,04).</w:t>
            </w:r>
          </w:p>
          <w:p w14:paraId="4D40661E" w14:textId="77777777" w:rsidR="00817793" w:rsidRDefault="002719FC">
            <w:pPr>
              <w:spacing w:before="120" w:after="120" w:line="240" w:lineRule="auto"/>
            </w:pPr>
            <w:r>
              <w:t>Desfecho SLEDAI-2K: A certeza da evidência foi baixa. No TULIP-LTE, não houve diferença estatística entre os grupos. Pacientes que iniciaram no ECR LTE apresentaram escores médios de 5,1 ± 3,5 (</w:t>
            </w:r>
            <w:proofErr w:type="spellStart"/>
            <w:r>
              <w:t>anifrolumabe</w:t>
            </w:r>
            <w:proofErr w:type="spellEnd"/>
            <w:r>
              <w:t xml:space="preserve"> 300 mg) e 6,0 ± 4,1 (placebo + terapia </w:t>
            </w:r>
            <w:proofErr w:type="gramStart"/>
            <w:r>
              <w:t>padrão(</w:t>
            </w:r>
            <w:proofErr w:type="gramEnd"/>
            <w:r>
              <w:t>*)).</w:t>
            </w:r>
          </w:p>
        </w:tc>
      </w:tr>
      <w:tr w:rsidR="00817793" w14:paraId="1C7A2DCC" w14:textId="77777777">
        <w:trPr>
          <w:trHeight w:val="454"/>
          <w:jc w:val="center"/>
        </w:trPr>
        <w:tc>
          <w:tcPr>
            <w:tcW w:w="2046" w:type="dxa"/>
            <w:shd w:val="clear" w:color="auto" w:fill="auto"/>
          </w:tcPr>
          <w:p w14:paraId="52B37A47" w14:textId="77777777" w:rsidR="00817793" w:rsidRDefault="002719FC">
            <w:pPr>
              <w:spacing w:before="120" w:after="120" w:line="240" w:lineRule="auto"/>
              <w:jc w:val="center"/>
              <w:rPr>
                <w:b/>
              </w:rPr>
            </w:pPr>
            <w:r>
              <w:rPr>
                <w:b/>
                <w:color w:val="000000"/>
              </w:rPr>
              <w:lastRenderedPageBreak/>
              <w:t>Limitações</w:t>
            </w:r>
          </w:p>
        </w:tc>
        <w:tc>
          <w:tcPr>
            <w:tcW w:w="2976" w:type="dxa"/>
            <w:shd w:val="clear" w:color="auto" w:fill="auto"/>
          </w:tcPr>
          <w:p w14:paraId="4F999CEE" w14:textId="77777777" w:rsidR="00817793" w:rsidRDefault="002719FC">
            <w:pPr>
              <w:spacing w:before="120" w:after="120" w:line="240" w:lineRule="auto"/>
              <w:jc w:val="center"/>
            </w:pPr>
            <w:r>
              <w:t>Não apresentado.</w:t>
            </w:r>
          </w:p>
        </w:tc>
        <w:tc>
          <w:tcPr>
            <w:tcW w:w="3885" w:type="dxa"/>
          </w:tcPr>
          <w:p w14:paraId="30C10CAB" w14:textId="77777777" w:rsidR="00817793" w:rsidRDefault="002719FC">
            <w:pPr>
              <w:spacing w:before="120" w:after="120" w:line="240" w:lineRule="auto"/>
            </w:pPr>
            <w:r>
              <w:t>Os ensaios clínicos randomizados (ECR) TULIP-1, TULIP-2 e TULIP-LTE foram incluídos na análise dos pareceristas, porém com ressalvas. Embora esses estudos não tenham incluído exclusivamente pacientes em terapia tripla, foi possível inferir que uma parte dos participantes fazia uso desse regime terapêutico. No entanto, não é possível determinar com precisão a proporção de pacientes em terapia tripla com base nas características basais apresentadas nos estudos. Estima-se que aproximadamente 60%-70% dos participantes do TULIP-1 e cerca de 50% dos participantes do TULIP-2 estavam em terapia tripla, com base nas tabelas de características basais dos pacientes. Ainda assim, os resultados dos estudos não foram estratificados de forma a diferenciar pacientes em terapia única, dupla ou tripla.</w:t>
            </w:r>
          </w:p>
          <w:p w14:paraId="1C0E4EFB" w14:textId="71D203B0" w:rsidR="00817793" w:rsidRDefault="00156CAA">
            <w:pPr>
              <w:spacing w:before="120" w:after="120" w:line="240" w:lineRule="auto"/>
            </w:pPr>
            <w:proofErr w:type="spellStart"/>
            <w:r>
              <w:t>conclus</w:t>
            </w:r>
            <w:proofErr w:type="spellEnd"/>
            <w:r w:rsidR="002719FC">
              <w:t>.</w:t>
            </w:r>
          </w:p>
        </w:tc>
      </w:tr>
      <w:tr w:rsidR="00817793" w14:paraId="248CE15C" w14:textId="77777777">
        <w:trPr>
          <w:trHeight w:val="454"/>
          <w:jc w:val="center"/>
        </w:trPr>
        <w:tc>
          <w:tcPr>
            <w:tcW w:w="2046" w:type="dxa"/>
            <w:shd w:val="clear" w:color="auto" w:fill="auto"/>
          </w:tcPr>
          <w:p w14:paraId="7170E40A" w14:textId="77777777" w:rsidR="00817793" w:rsidRDefault="002719FC">
            <w:pPr>
              <w:spacing w:before="120" w:after="120" w:line="240" w:lineRule="auto"/>
              <w:jc w:val="center"/>
              <w:rPr>
                <w:b/>
              </w:rPr>
            </w:pPr>
            <w:r>
              <w:rPr>
                <w:b/>
                <w:color w:val="000000"/>
                <w:highlight w:val="white"/>
              </w:rPr>
              <w:lastRenderedPageBreak/>
              <w:t>Conclusões</w:t>
            </w:r>
          </w:p>
        </w:tc>
        <w:tc>
          <w:tcPr>
            <w:tcW w:w="2976" w:type="dxa"/>
            <w:shd w:val="clear" w:color="auto" w:fill="auto"/>
          </w:tcPr>
          <w:p w14:paraId="4CFC442F" w14:textId="77777777" w:rsidR="00817793" w:rsidRDefault="002719FC">
            <w:pPr>
              <w:spacing w:before="120" w:after="120" w:line="240" w:lineRule="auto"/>
            </w:pPr>
            <w:r>
              <w:t xml:space="preserve">Com base nas evidências apresentadas, </w:t>
            </w:r>
            <w:proofErr w:type="spellStart"/>
            <w:r>
              <w:t>anifrolumabe</w:t>
            </w:r>
            <w:proofErr w:type="spellEnd"/>
            <w:r>
              <w:t xml:space="preserve"> se mostra como um tratamento eficaz e seguro para o tratamento de pacientes com LES com moderada a alta atividade da doença refratários ao tratamento padrão. O medicamento proporciona benefícios clínicos significativos, incluindo a melhora da atividade da doença, redução do uso de corticosteroides e controle mais eficaz das manifestações do LES, entre elas cutâneas e articulares, além de um perfil de segurança favorável, com menor incidência de eventos adversos graves. Diante disso, recomenda-se a incorporação do </w:t>
            </w:r>
            <w:proofErr w:type="spellStart"/>
            <w:r>
              <w:t>anifrolumabe</w:t>
            </w:r>
            <w:proofErr w:type="spellEnd"/>
            <w:r>
              <w:t xml:space="preserve"> no Rol da Agência Nacional de Saúde Suplementar (ANS).</w:t>
            </w:r>
          </w:p>
        </w:tc>
        <w:tc>
          <w:tcPr>
            <w:tcW w:w="3885" w:type="dxa"/>
          </w:tcPr>
          <w:p w14:paraId="1F894C01" w14:textId="77777777" w:rsidR="00817793" w:rsidRDefault="002719FC">
            <w:pPr>
              <w:spacing w:before="120" w:after="120" w:line="240" w:lineRule="auto"/>
              <w:rPr>
                <w:highlight w:val="white"/>
              </w:rPr>
            </w:pPr>
            <w:r>
              <w:rPr>
                <w:highlight w:val="white"/>
              </w:rPr>
              <w:t>De acordo com as evidências apresentadas, os estudos possuem fragilidades significativas quanto à representatividade da população-alvo proposta para a incorporação. Essa população inclui pacientes com lúpus eritematoso sistêmico positivo para autoanticorpos, com 18 anos ou mais, em uso de terapia tripla (hidroxicloroquina + corticosteroide [prednisona ≥7,5 mg/dia ou equivalente] + imunossupressor [</w:t>
            </w:r>
            <w:proofErr w:type="spellStart"/>
            <w:r>
              <w:rPr>
                <w:highlight w:val="white"/>
              </w:rPr>
              <w:t>azatioprina</w:t>
            </w:r>
            <w:proofErr w:type="spellEnd"/>
            <w:r>
              <w:rPr>
                <w:highlight w:val="white"/>
              </w:rPr>
              <w:t xml:space="preserve">, </w:t>
            </w:r>
            <w:proofErr w:type="spellStart"/>
            <w:r>
              <w:rPr>
                <w:highlight w:val="white"/>
              </w:rPr>
              <w:t>micofenolato</w:t>
            </w:r>
            <w:proofErr w:type="spellEnd"/>
            <w:r>
              <w:rPr>
                <w:highlight w:val="white"/>
              </w:rPr>
              <w:t xml:space="preserve"> ou metotrexato]), que apresentem intolerância ou falha após 24 semanas de tratamento, e estejam em atividade moderada a grave, com pelo menos um dos seguintes critérios: SLEDAI-2K ≥10 ou CLASI ≥10.</w:t>
            </w:r>
          </w:p>
          <w:p w14:paraId="13C326F3" w14:textId="0875631C" w:rsidR="00817793" w:rsidRDefault="002719FC">
            <w:pPr>
              <w:spacing w:before="120" w:after="120" w:line="240" w:lineRule="auto"/>
              <w:rPr>
                <w:highlight w:val="white"/>
              </w:rPr>
            </w:pPr>
            <w:r>
              <w:rPr>
                <w:highlight w:val="white"/>
              </w:rPr>
              <w:t>Há necessidade de mais estudos que incluam especificamente essa população em terapia tripla. Na ausência dessa inclusão, seria essencial que os resultados reportados fossem categorizados de forma clara, considerando pacientes em terapia tripla, dupla ou única, para melhor interpretação e aplicabilidade dos dados.</w:t>
            </w:r>
          </w:p>
        </w:tc>
      </w:tr>
    </w:tbl>
    <w:p w14:paraId="4853B841" w14:textId="62BC8F0E" w:rsidR="00817793" w:rsidRDefault="002719FC">
      <w:pPr>
        <w:spacing w:before="120" w:after="120" w:line="240" w:lineRule="auto"/>
        <w:rPr>
          <w:smallCaps/>
        </w:rPr>
      </w:pPr>
      <w:r>
        <w:rPr>
          <w:smallCaps/>
        </w:rPr>
        <w:t>Legenda: (*) Os pacientes estavam em tratamento estável com pelo menos um dos seguintes medicamentos: Corticosteroides orais (como a prednisona) ou equivalente</w:t>
      </w:r>
      <w:r w:rsidR="00826382">
        <w:rPr>
          <w:smallCaps/>
        </w:rPr>
        <w:t>;</w:t>
      </w:r>
      <w:r>
        <w:rPr>
          <w:smallCaps/>
        </w:rPr>
        <w:t xml:space="preserve"> Antimaláricos (como a hidroxicloroquina)</w:t>
      </w:r>
      <w:r w:rsidR="00826382">
        <w:rPr>
          <w:smallCaps/>
        </w:rPr>
        <w:t>;</w:t>
      </w:r>
      <w:r>
        <w:rPr>
          <w:smallCaps/>
        </w:rPr>
        <w:t xml:space="preserve"> Imunossupressores </w:t>
      </w:r>
      <w:r w:rsidR="00826382">
        <w:rPr>
          <w:smallCaps/>
        </w:rPr>
        <w:t>(</w:t>
      </w:r>
      <w:r>
        <w:rPr>
          <w:smallCaps/>
        </w:rPr>
        <w:t xml:space="preserve">incluindo: </w:t>
      </w:r>
      <w:proofErr w:type="spellStart"/>
      <w:r>
        <w:rPr>
          <w:smallCaps/>
        </w:rPr>
        <w:t>Azatioprina</w:t>
      </w:r>
      <w:proofErr w:type="spellEnd"/>
      <w:r>
        <w:rPr>
          <w:smallCaps/>
        </w:rPr>
        <w:t xml:space="preserve">, </w:t>
      </w:r>
      <w:proofErr w:type="spellStart"/>
      <w:r>
        <w:rPr>
          <w:smallCaps/>
        </w:rPr>
        <w:t>Mizoribina</w:t>
      </w:r>
      <w:proofErr w:type="spellEnd"/>
      <w:r>
        <w:rPr>
          <w:smallCaps/>
        </w:rPr>
        <w:t xml:space="preserve">, </w:t>
      </w:r>
      <w:proofErr w:type="spellStart"/>
      <w:r>
        <w:rPr>
          <w:smallCaps/>
        </w:rPr>
        <w:t>Micofenolato</w:t>
      </w:r>
      <w:proofErr w:type="spellEnd"/>
      <w:r>
        <w:rPr>
          <w:smallCaps/>
        </w:rPr>
        <w:t xml:space="preserve"> </w:t>
      </w:r>
      <w:proofErr w:type="spellStart"/>
      <w:r>
        <w:rPr>
          <w:smallCaps/>
        </w:rPr>
        <w:t>mofetil</w:t>
      </w:r>
      <w:proofErr w:type="spellEnd"/>
      <w:r>
        <w:rPr>
          <w:smallCaps/>
        </w:rPr>
        <w:t xml:space="preserve"> ou ácido </w:t>
      </w:r>
      <w:proofErr w:type="spellStart"/>
      <w:r>
        <w:rPr>
          <w:smallCaps/>
        </w:rPr>
        <w:t>micofenólico</w:t>
      </w:r>
      <w:proofErr w:type="spellEnd"/>
      <w:r>
        <w:rPr>
          <w:smallCaps/>
        </w:rPr>
        <w:t>, Metotrexato</w:t>
      </w:r>
      <w:r w:rsidR="00826382">
        <w:rPr>
          <w:smallCaps/>
        </w:rPr>
        <w:t>)</w:t>
      </w:r>
      <w:r>
        <w:rPr>
          <w:smallCaps/>
        </w:rPr>
        <w:t>.</w:t>
      </w:r>
    </w:p>
    <w:p w14:paraId="6A01D686" w14:textId="77777777" w:rsidR="00826382" w:rsidRDefault="00826382">
      <w:pPr>
        <w:spacing w:before="120" w:after="120" w:line="240" w:lineRule="auto"/>
        <w:rPr>
          <w:smallCaps/>
        </w:rPr>
      </w:pPr>
    </w:p>
    <w:p w14:paraId="1F3DFDEA" w14:textId="77777777" w:rsidR="00826382" w:rsidRDefault="00826382">
      <w:pPr>
        <w:spacing w:before="120" w:after="120" w:line="240" w:lineRule="auto"/>
        <w:rPr>
          <w:smallCaps/>
        </w:rPr>
      </w:pPr>
    </w:p>
    <w:tbl>
      <w:tblPr>
        <w:tblStyle w:val="afd"/>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FAC0343" w14:textId="77777777">
        <w:trPr>
          <w:trHeight w:val="416"/>
        </w:trPr>
        <w:tc>
          <w:tcPr>
            <w:tcW w:w="9072" w:type="dxa"/>
            <w:shd w:val="clear" w:color="auto" w:fill="D9E2F3"/>
            <w:vAlign w:val="center"/>
          </w:tcPr>
          <w:p w14:paraId="70C1087F" w14:textId="77777777" w:rsidR="00817793" w:rsidRDefault="002719FC">
            <w:pPr>
              <w:spacing w:before="120" w:after="120" w:line="240" w:lineRule="auto"/>
              <w:jc w:val="center"/>
              <w:rPr>
                <w:b/>
              </w:rPr>
            </w:pPr>
            <w:r>
              <w:rPr>
                <w:b/>
              </w:rPr>
              <w:t>Comentários gerais sobre a discussão e as conclusões</w:t>
            </w:r>
          </w:p>
        </w:tc>
      </w:tr>
      <w:tr w:rsidR="00817793" w14:paraId="4AB2D036" w14:textId="77777777">
        <w:trPr>
          <w:trHeight w:val="750"/>
        </w:trPr>
        <w:tc>
          <w:tcPr>
            <w:tcW w:w="9072" w:type="dxa"/>
            <w:vAlign w:val="center"/>
          </w:tcPr>
          <w:p w14:paraId="39CBF1EF" w14:textId="77777777" w:rsidR="00817793" w:rsidRDefault="002719FC">
            <w:pPr>
              <w:spacing w:before="120" w:after="120"/>
              <w:jc w:val="center"/>
              <w:rPr>
                <w:i/>
                <w:color w:val="FF0000"/>
              </w:rPr>
            </w:pPr>
            <w:r>
              <w:t>Sem comentários adicionais</w:t>
            </w:r>
          </w:p>
        </w:tc>
      </w:tr>
    </w:tbl>
    <w:p w14:paraId="5CE536C4" w14:textId="77777777" w:rsidR="00826382" w:rsidRDefault="00826382">
      <w:pPr>
        <w:pStyle w:val="Ttulo2"/>
      </w:pPr>
      <w:bookmarkStart w:id="45" w:name="_3whwml4" w:colFirst="0" w:colLast="0"/>
      <w:bookmarkEnd w:id="45"/>
    </w:p>
    <w:p w14:paraId="5333CB39" w14:textId="77777777" w:rsidR="00826382" w:rsidRPr="00826382" w:rsidRDefault="00826382" w:rsidP="00826382"/>
    <w:p w14:paraId="092C577A" w14:textId="77E66608" w:rsidR="00817793" w:rsidRDefault="002719FC">
      <w:pPr>
        <w:pStyle w:val="Ttulo2"/>
      </w:pPr>
      <w:r>
        <w:lastRenderedPageBreak/>
        <w:t>5.7 Elementos pós-texto</w:t>
      </w:r>
    </w:p>
    <w:p w14:paraId="6266140F" w14:textId="77777777" w:rsidR="00817793" w:rsidRDefault="002719FC">
      <w:pPr>
        <w:pStyle w:val="Ttulo4"/>
      </w:pPr>
      <w:bookmarkStart w:id="46" w:name="_u3kkxmnihg3" w:colFirst="0" w:colLast="0"/>
      <w:bookmarkEnd w:id="46"/>
      <w:r>
        <w:rPr>
          <w:b/>
        </w:rPr>
        <w:t>Quadro 20.</w:t>
      </w:r>
      <w:r>
        <w:t xml:space="preserve"> Componentes dos elementos pós-texto</w:t>
      </w:r>
    </w:p>
    <w:tbl>
      <w:tblPr>
        <w:tblStyle w:val="afe"/>
        <w:tblW w:w="89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2"/>
        <w:gridCol w:w="3402"/>
        <w:gridCol w:w="3743"/>
      </w:tblGrid>
      <w:tr w:rsidR="00817793" w14:paraId="65574C57" w14:textId="77777777">
        <w:trPr>
          <w:trHeight w:val="454"/>
          <w:jc w:val="center"/>
        </w:trPr>
        <w:tc>
          <w:tcPr>
            <w:tcW w:w="1762" w:type="dxa"/>
            <w:shd w:val="clear" w:color="auto" w:fill="D9E2F3"/>
          </w:tcPr>
          <w:p w14:paraId="5F66ADBA" w14:textId="77777777" w:rsidR="00817793" w:rsidRDefault="002719FC">
            <w:pPr>
              <w:spacing w:before="120" w:after="120" w:line="240" w:lineRule="auto"/>
              <w:jc w:val="center"/>
              <w:rPr>
                <w:b/>
              </w:rPr>
            </w:pPr>
            <w:r>
              <w:rPr>
                <w:b/>
              </w:rPr>
              <w:t>Elemento</w:t>
            </w:r>
          </w:p>
        </w:tc>
        <w:tc>
          <w:tcPr>
            <w:tcW w:w="3402" w:type="dxa"/>
            <w:shd w:val="clear" w:color="auto" w:fill="D9E2F3"/>
          </w:tcPr>
          <w:p w14:paraId="07102BC3" w14:textId="77777777" w:rsidR="00817793" w:rsidRDefault="002719FC">
            <w:pPr>
              <w:spacing w:before="120" w:after="120" w:line="240" w:lineRule="auto"/>
              <w:jc w:val="center"/>
              <w:rPr>
                <w:b/>
              </w:rPr>
            </w:pPr>
            <w:r>
              <w:rPr>
                <w:b/>
              </w:rPr>
              <w:t>Proponente</w:t>
            </w:r>
          </w:p>
        </w:tc>
        <w:tc>
          <w:tcPr>
            <w:tcW w:w="3743" w:type="dxa"/>
            <w:shd w:val="clear" w:color="auto" w:fill="D9E2F3"/>
          </w:tcPr>
          <w:p w14:paraId="5AAFAE96" w14:textId="77777777" w:rsidR="00817793" w:rsidRDefault="002719FC">
            <w:pPr>
              <w:spacing w:before="120" w:after="120" w:line="240" w:lineRule="auto"/>
              <w:jc w:val="center"/>
              <w:rPr>
                <w:b/>
              </w:rPr>
            </w:pPr>
            <w:r>
              <w:rPr>
                <w:b/>
              </w:rPr>
              <w:t>Análise da proposta</w:t>
            </w:r>
          </w:p>
        </w:tc>
      </w:tr>
      <w:tr w:rsidR="00817793" w14:paraId="11E9321F" w14:textId="77777777">
        <w:trPr>
          <w:trHeight w:val="454"/>
          <w:jc w:val="center"/>
        </w:trPr>
        <w:tc>
          <w:tcPr>
            <w:tcW w:w="1762" w:type="dxa"/>
            <w:shd w:val="clear" w:color="auto" w:fill="auto"/>
          </w:tcPr>
          <w:p w14:paraId="1E0B2A5C" w14:textId="77777777" w:rsidR="00817793" w:rsidRDefault="002719FC">
            <w:pPr>
              <w:spacing w:before="120" w:after="120" w:line="240" w:lineRule="auto"/>
              <w:jc w:val="center"/>
              <w:rPr>
                <w:b/>
              </w:rPr>
            </w:pPr>
            <w:r>
              <w:rPr>
                <w:b/>
                <w:color w:val="000000"/>
              </w:rPr>
              <w:t>Declaração de conflito de interesse</w:t>
            </w:r>
          </w:p>
        </w:tc>
        <w:tc>
          <w:tcPr>
            <w:tcW w:w="3402" w:type="dxa"/>
            <w:shd w:val="clear" w:color="auto" w:fill="auto"/>
          </w:tcPr>
          <w:p w14:paraId="2F81CA34" w14:textId="77777777" w:rsidR="00817793" w:rsidRDefault="002719FC">
            <w:pPr>
              <w:spacing w:before="120" w:after="120"/>
              <w:jc w:val="center"/>
            </w:pPr>
            <w:r>
              <w:t>Não se aplica</w:t>
            </w:r>
          </w:p>
        </w:tc>
        <w:tc>
          <w:tcPr>
            <w:tcW w:w="3743" w:type="dxa"/>
          </w:tcPr>
          <w:p w14:paraId="4A9CE06B" w14:textId="77777777" w:rsidR="00817793" w:rsidRDefault="002719FC">
            <w:pPr>
              <w:spacing w:before="120" w:after="120"/>
            </w:pPr>
            <w:r>
              <w:t>A declaração de conflitos de interesse é objeto de análise pela ANS devido à proteção de dados confidenciais. O PARECERISTA não teve acesso ao documento.</w:t>
            </w:r>
          </w:p>
        </w:tc>
      </w:tr>
      <w:tr w:rsidR="00817793" w14:paraId="39DB41D3" w14:textId="77777777">
        <w:trPr>
          <w:trHeight w:val="454"/>
          <w:jc w:val="center"/>
        </w:trPr>
        <w:tc>
          <w:tcPr>
            <w:tcW w:w="1762" w:type="dxa"/>
            <w:shd w:val="clear" w:color="auto" w:fill="auto"/>
          </w:tcPr>
          <w:p w14:paraId="1A8A572A" w14:textId="77777777" w:rsidR="00817793" w:rsidRDefault="002719FC">
            <w:pPr>
              <w:spacing w:before="120" w:after="120" w:line="240" w:lineRule="auto"/>
              <w:jc w:val="center"/>
              <w:rPr>
                <w:b/>
              </w:rPr>
            </w:pPr>
            <w:r>
              <w:rPr>
                <w:b/>
                <w:color w:val="000000"/>
              </w:rPr>
              <w:t>Referências</w:t>
            </w:r>
          </w:p>
        </w:tc>
        <w:tc>
          <w:tcPr>
            <w:tcW w:w="3402" w:type="dxa"/>
            <w:shd w:val="clear" w:color="auto" w:fill="auto"/>
          </w:tcPr>
          <w:p w14:paraId="4CF16574" w14:textId="77777777" w:rsidR="00817793" w:rsidRDefault="002719FC">
            <w:pPr>
              <w:spacing w:before="120" w:after="120"/>
              <w:jc w:val="center"/>
            </w:pPr>
            <w:r>
              <w:t xml:space="preserve">Adequadas </w:t>
            </w:r>
          </w:p>
        </w:tc>
        <w:tc>
          <w:tcPr>
            <w:tcW w:w="3743" w:type="dxa"/>
          </w:tcPr>
          <w:p w14:paraId="12435B0F" w14:textId="2D90D503" w:rsidR="00817793" w:rsidRDefault="002719FC">
            <w:pPr>
              <w:spacing w:before="120" w:after="120"/>
            </w:pPr>
            <w:r>
              <w:t>Todas as referências relevantes foram citadas.</w:t>
            </w:r>
          </w:p>
        </w:tc>
      </w:tr>
    </w:tbl>
    <w:p w14:paraId="5A25747A" w14:textId="77777777" w:rsidR="00817793" w:rsidRDefault="00817793">
      <w:pPr>
        <w:rPr>
          <w:smallCaps/>
          <w:highlight w:val="cyan"/>
        </w:rPr>
      </w:pPr>
    </w:p>
    <w:tbl>
      <w:tblPr>
        <w:tblStyle w:val="aff"/>
        <w:tblW w:w="8859"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59"/>
      </w:tblGrid>
      <w:tr w:rsidR="00817793" w14:paraId="3B98D737" w14:textId="77777777">
        <w:trPr>
          <w:trHeight w:val="416"/>
        </w:trPr>
        <w:tc>
          <w:tcPr>
            <w:tcW w:w="8859" w:type="dxa"/>
            <w:shd w:val="clear" w:color="auto" w:fill="D9E2F3"/>
            <w:vAlign w:val="center"/>
          </w:tcPr>
          <w:p w14:paraId="394B4DA8" w14:textId="77777777" w:rsidR="00817793" w:rsidRDefault="002719FC">
            <w:pPr>
              <w:spacing w:before="120" w:after="120" w:line="240" w:lineRule="auto"/>
              <w:jc w:val="center"/>
              <w:rPr>
                <w:b/>
              </w:rPr>
            </w:pPr>
            <w:r>
              <w:rPr>
                <w:b/>
              </w:rPr>
              <w:t>Comentários gerais sobre os elementos pós-texto</w:t>
            </w:r>
          </w:p>
        </w:tc>
      </w:tr>
      <w:tr w:rsidR="00817793" w14:paraId="29420E0F" w14:textId="77777777">
        <w:trPr>
          <w:trHeight w:val="750"/>
        </w:trPr>
        <w:tc>
          <w:tcPr>
            <w:tcW w:w="8859" w:type="dxa"/>
            <w:vAlign w:val="center"/>
          </w:tcPr>
          <w:p w14:paraId="247B0930" w14:textId="77777777" w:rsidR="00817793" w:rsidRDefault="002719FC">
            <w:pPr>
              <w:spacing w:before="120" w:after="120"/>
              <w:jc w:val="center"/>
              <w:rPr>
                <w:i/>
                <w:color w:val="FF0000"/>
              </w:rPr>
            </w:pPr>
            <w:r>
              <w:t>Nenhum comentário adicional.</w:t>
            </w:r>
          </w:p>
        </w:tc>
      </w:tr>
    </w:tbl>
    <w:p w14:paraId="09B8D95D" w14:textId="77777777" w:rsidR="00817793" w:rsidRDefault="00817793">
      <w:pPr>
        <w:rPr>
          <w:smallCaps/>
          <w:highlight w:val="cyan"/>
        </w:rPr>
      </w:pPr>
    </w:p>
    <w:p w14:paraId="78BEFD2A" w14:textId="77777777" w:rsidR="00817793" w:rsidRDefault="002719FC">
      <w:pPr>
        <w:pStyle w:val="Ttulo2"/>
      </w:pPr>
      <w:r>
        <w:br w:type="page"/>
      </w:r>
    </w:p>
    <w:p w14:paraId="31480C0D" w14:textId="77777777" w:rsidR="00817793" w:rsidRDefault="002719FC">
      <w:pPr>
        <w:pStyle w:val="Ttulo1"/>
      </w:pPr>
      <w:bookmarkStart w:id="47" w:name="_2bn6wsx" w:colFirst="0" w:colLast="0"/>
      <w:bookmarkEnd w:id="47"/>
      <w:r>
        <w:lastRenderedPageBreak/>
        <w:t xml:space="preserve">6. AVALIAÇÃO ECONÔMICA </w:t>
      </w:r>
    </w:p>
    <w:p w14:paraId="18DF7151" w14:textId="77777777" w:rsidR="00817793" w:rsidRDefault="002719FC">
      <w:r>
        <w:t xml:space="preserve">O estudo de avaliação econômica foi analisado a partir de elementos contidos no roteiro elaborado pela equipe técnica da ANS e considerando as Diretrizes Metodológicas publicadas pelo Ministério da Saúde para a elaboração de avaliações econômicas </w:t>
      </w:r>
      <w:r>
        <w:rPr>
          <w:vertAlign w:val="superscript"/>
        </w:rPr>
        <w:t xml:space="preserve">3 </w:t>
      </w:r>
      <w:r>
        <w:t xml:space="preserve">e adaptadas para o contexto da saúde suplementar. </w:t>
      </w:r>
    </w:p>
    <w:p w14:paraId="70600EF2" w14:textId="77777777" w:rsidR="00817793" w:rsidRDefault="002719FC">
      <w:pPr>
        <w:spacing w:before="0" w:after="0"/>
      </w:pPr>
      <w:bookmarkStart w:id="48" w:name="_qsh70q" w:colFirst="0" w:colLast="0"/>
      <w:bookmarkEnd w:id="48"/>
      <w:r>
        <w:t>Tipo de avaliação econômica apresentada pelo proponente:</w:t>
      </w:r>
    </w:p>
    <w:p w14:paraId="33FE04FD" w14:textId="77777777" w:rsidR="00817793" w:rsidRDefault="002719FC">
      <w:pPr>
        <w:spacing w:before="0" w:after="0"/>
      </w:pPr>
      <w:proofErr w:type="gramStart"/>
      <w:r>
        <w:t xml:space="preserve">(  </w:t>
      </w:r>
      <w:proofErr w:type="gramEnd"/>
      <w:r>
        <w:t xml:space="preserve"> ) Custos (análise parcial)</w:t>
      </w:r>
    </w:p>
    <w:p w14:paraId="423AA0CE" w14:textId="77777777" w:rsidR="00817793" w:rsidRDefault="002719FC">
      <w:pPr>
        <w:spacing w:before="0" w:after="0"/>
      </w:pPr>
      <w:proofErr w:type="gramStart"/>
      <w:r>
        <w:t xml:space="preserve">(  </w:t>
      </w:r>
      <w:proofErr w:type="gramEnd"/>
      <w:r>
        <w:t xml:space="preserve"> ) Custo-efetividade</w:t>
      </w:r>
    </w:p>
    <w:p w14:paraId="4BCC09A2" w14:textId="77777777" w:rsidR="00817793" w:rsidRDefault="002719FC">
      <w:pPr>
        <w:spacing w:before="0" w:after="0"/>
      </w:pPr>
      <w:proofErr w:type="gramStart"/>
      <w:r>
        <w:t>( X</w:t>
      </w:r>
      <w:proofErr w:type="gramEnd"/>
      <w:r>
        <w:t xml:space="preserve"> ) Custo-</w:t>
      </w:r>
      <w:proofErr w:type="spellStart"/>
      <w:r>
        <w:rPr>
          <w:i/>
        </w:rPr>
        <w:t>utility</w:t>
      </w:r>
      <w:proofErr w:type="spellEnd"/>
    </w:p>
    <w:p w14:paraId="55BF8AE4" w14:textId="77777777" w:rsidR="00817793" w:rsidRDefault="002719FC">
      <w:pPr>
        <w:spacing w:before="0" w:after="0"/>
      </w:pPr>
      <w:proofErr w:type="gramStart"/>
      <w:r>
        <w:t xml:space="preserve">(  </w:t>
      </w:r>
      <w:proofErr w:type="gramEnd"/>
      <w:r>
        <w:t xml:space="preserve"> ) Custo-benefício</w:t>
      </w:r>
    </w:p>
    <w:p w14:paraId="7D07B97C" w14:textId="77777777" w:rsidR="00817793" w:rsidRDefault="002719FC">
      <w:pPr>
        <w:spacing w:before="0" w:after="0"/>
      </w:pPr>
      <w:proofErr w:type="gramStart"/>
      <w:r>
        <w:t xml:space="preserve">(  </w:t>
      </w:r>
      <w:proofErr w:type="gramEnd"/>
      <w:r>
        <w:t xml:space="preserve"> ) Custo-minimização</w:t>
      </w:r>
    </w:p>
    <w:p w14:paraId="27A76422" w14:textId="77777777" w:rsidR="00817793" w:rsidRDefault="00817793">
      <w:pPr>
        <w:rPr>
          <w:smallCaps/>
          <w:highlight w:val="cyan"/>
        </w:rPr>
      </w:pPr>
    </w:p>
    <w:tbl>
      <w:tblPr>
        <w:tblStyle w:val="aff0"/>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606B5BE1" w14:textId="77777777" w:rsidTr="50F3AFC4">
        <w:trPr>
          <w:trHeight w:val="416"/>
        </w:trPr>
        <w:tc>
          <w:tcPr>
            <w:tcW w:w="9072" w:type="dxa"/>
            <w:shd w:val="clear" w:color="auto" w:fill="D9E2F3"/>
            <w:vAlign w:val="center"/>
          </w:tcPr>
          <w:p w14:paraId="5697F3CA" w14:textId="77777777" w:rsidR="00817793" w:rsidRDefault="002719FC">
            <w:pPr>
              <w:spacing w:before="120" w:after="120" w:line="240" w:lineRule="auto"/>
              <w:jc w:val="center"/>
              <w:rPr>
                <w:b/>
              </w:rPr>
            </w:pPr>
            <w:r>
              <w:rPr>
                <w:b/>
              </w:rPr>
              <w:t>Comentários sobre o tipo de avaliação econômica apresentada pelo proponente</w:t>
            </w:r>
          </w:p>
        </w:tc>
      </w:tr>
      <w:tr w:rsidR="00817793" w14:paraId="6B642EB0" w14:textId="77777777" w:rsidTr="50F3AFC4">
        <w:trPr>
          <w:trHeight w:val="750"/>
        </w:trPr>
        <w:tc>
          <w:tcPr>
            <w:tcW w:w="9072" w:type="dxa"/>
            <w:vAlign w:val="center"/>
          </w:tcPr>
          <w:p w14:paraId="6DE401E2" w14:textId="77777777" w:rsidR="00817793" w:rsidRDefault="002719FC">
            <w:pPr>
              <w:spacing w:before="120" w:after="120" w:line="240" w:lineRule="auto"/>
            </w:pPr>
            <w:r>
              <w:t xml:space="preserve">O proponente conduziu uma análise de custo-utilidade na qual empregou um modelo do tipo </w:t>
            </w:r>
            <w:proofErr w:type="spellStart"/>
            <w:r>
              <w:t>semi-Markov</w:t>
            </w:r>
            <w:proofErr w:type="spellEnd"/>
            <w:r>
              <w:t xml:space="preserve"> para estimar a razão de custo-utilidade incremental (RCUI) de </w:t>
            </w:r>
            <w:proofErr w:type="spellStart"/>
            <w:r>
              <w:t>anifrolumabe</w:t>
            </w:r>
            <w:proofErr w:type="spellEnd"/>
            <w:r>
              <w:t xml:space="preserve"> + tratamento padrão em comparação ao tratamento padrão no tratamento de pacientes adultos com LES em moderada a alta atividade da doença, que foram tratados com terapia tripla com hidroxicloroquina + corticosteroide (prednisona ≥7,5 mg/dia ou equivalente) + imunossupressor, com Índice de Atividade da Doença do Lúpus Eritematoso Sistêmico (SLEDAI) ≥ 10. </w:t>
            </w:r>
          </w:p>
          <w:p w14:paraId="7500721B" w14:textId="77777777" w:rsidR="00817793" w:rsidRDefault="002719FC">
            <w:pPr>
              <w:spacing w:before="120" w:after="120" w:line="240" w:lineRule="auto"/>
            </w:pPr>
            <w:r>
              <w:t xml:space="preserve">O modelo foi conduzido com base no alcance do estado de saúde </w:t>
            </w:r>
            <w:proofErr w:type="spellStart"/>
            <w:r>
              <w:rPr>
                <w:i/>
              </w:rPr>
              <w:t>Lupus</w:t>
            </w:r>
            <w:proofErr w:type="spellEnd"/>
            <w:r>
              <w:rPr>
                <w:i/>
              </w:rPr>
              <w:t xml:space="preserve"> </w:t>
            </w:r>
            <w:proofErr w:type="spellStart"/>
            <w:r>
              <w:rPr>
                <w:i/>
              </w:rPr>
              <w:t>Low</w:t>
            </w:r>
            <w:proofErr w:type="spellEnd"/>
            <w:r>
              <w:rPr>
                <w:i/>
              </w:rPr>
              <w:t xml:space="preserve"> </w:t>
            </w:r>
            <w:proofErr w:type="spellStart"/>
            <w:r>
              <w:rPr>
                <w:i/>
              </w:rPr>
              <w:t>Disease</w:t>
            </w:r>
            <w:proofErr w:type="spellEnd"/>
            <w:r>
              <w:rPr>
                <w:i/>
              </w:rPr>
              <w:t xml:space="preserve"> </w:t>
            </w:r>
            <w:proofErr w:type="spellStart"/>
            <w:r>
              <w:rPr>
                <w:i/>
              </w:rPr>
              <w:t>Activity</w:t>
            </w:r>
            <w:proofErr w:type="spellEnd"/>
            <w:r>
              <w:rPr>
                <w:i/>
              </w:rPr>
              <w:t xml:space="preserve"> </w:t>
            </w:r>
            <w:proofErr w:type="spellStart"/>
            <w:r>
              <w:rPr>
                <w:i/>
              </w:rPr>
              <w:t>State</w:t>
            </w:r>
            <w:proofErr w:type="spellEnd"/>
            <w:r>
              <w:t xml:space="preserve"> (LLDAS), que consiste em um estado de saúde caracterizado por apresentar menos exacerbações, redução de danos a órgãos, redução da dose ou suspensão do uso de corticosteroides, e melhor qualidade de vida. Nesse sentido, os estados de saúde do modelo foram: “LLDAS”, “Não-LLDAS” e “Óbito”. O modelo foi elaborado considerando a interrupção do tratamento com </w:t>
            </w:r>
            <w:proofErr w:type="spellStart"/>
            <w:r>
              <w:t>anifrolumabe</w:t>
            </w:r>
            <w:proofErr w:type="spellEnd"/>
            <w:r>
              <w:t xml:space="preserve"> pelos pacientes que não atingem o estado de LLDAS em seis meses (24 semanas). </w:t>
            </w:r>
          </w:p>
          <w:p w14:paraId="4A966B7B" w14:textId="77777777" w:rsidR="00817793" w:rsidRDefault="002719FC">
            <w:pPr>
              <w:spacing w:before="120" w:after="120" w:line="240" w:lineRule="auto"/>
            </w:pPr>
            <w:r>
              <w:t xml:space="preserve">Foram considerados custos relacionados ao uso de </w:t>
            </w:r>
            <w:proofErr w:type="spellStart"/>
            <w:r>
              <w:t>anifrolumabe</w:t>
            </w:r>
            <w:proofErr w:type="spellEnd"/>
            <w:r>
              <w:t xml:space="preserve">, corticosteroides, hidroxicloroquina, imunossupressores e medicamentos para os eventos adversos, além de consultas e exames de acompanhamento. Foram incluídos custos e </w:t>
            </w:r>
            <w:proofErr w:type="spellStart"/>
            <w:r>
              <w:t>desutilidades</w:t>
            </w:r>
            <w:proofErr w:type="spellEnd"/>
            <w:r>
              <w:t xml:space="preserve"> associadas a exacerbações, lesões orgânicas (SDI) e eventos adversos relacionados ao </w:t>
            </w:r>
            <w:proofErr w:type="spellStart"/>
            <w:r>
              <w:t>anifrolumabe</w:t>
            </w:r>
            <w:proofErr w:type="spellEnd"/>
            <w:r>
              <w:t>, ao tratamento padrão e ao uso de corticosteroides. Segundo o proponente, a análise do caso-base resultou em uma RCUI de R$ 259.225/AVAQ.</w:t>
            </w:r>
          </w:p>
          <w:p w14:paraId="3D775CC1" w14:textId="7338F822" w:rsidR="00817793" w:rsidRDefault="002719FC">
            <w:pPr>
              <w:spacing w:before="120" w:after="120" w:line="240" w:lineRule="auto"/>
            </w:pPr>
            <w:r w:rsidRPr="50F3AFC4">
              <w:rPr>
                <w:highlight w:val="white"/>
              </w:rPr>
              <w:t xml:space="preserve">O modelo foi construído com regras de descontinuação de </w:t>
            </w:r>
            <w:proofErr w:type="spellStart"/>
            <w:r w:rsidRPr="50F3AFC4">
              <w:rPr>
                <w:highlight w:val="white"/>
              </w:rPr>
              <w:t>anifrolumabe</w:t>
            </w:r>
            <w:proofErr w:type="spellEnd"/>
            <w:r w:rsidRPr="50F3AFC4">
              <w:rPr>
                <w:highlight w:val="white"/>
              </w:rPr>
              <w:t xml:space="preserve"> e representa uma abordagem conservadora e alinhada à</w:t>
            </w:r>
            <w:r>
              <w:t xml:space="preserve"> DUT proposta, </w:t>
            </w:r>
            <w:r w:rsidRPr="50F3AFC4">
              <w:rPr>
                <w:highlight w:val="white"/>
              </w:rPr>
              <w:t xml:space="preserve">prioriza o uso de </w:t>
            </w:r>
            <w:proofErr w:type="spellStart"/>
            <w:r w:rsidRPr="50F3AFC4">
              <w:rPr>
                <w:highlight w:val="white"/>
              </w:rPr>
              <w:t>anifrolumabe</w:t>
            </w:r>
            <w:proofErr w:type="spellEnd"/>
            <w:r w:rsidRPr="50F3AFC4">
              <w:rPr>
                <w:highlight w:val="white"/>
              </w:rPr>
              <w:t xml:space="preserve"> aos pacientes </w:t>
            </w:r>
            <w:r w:rsidRPr="50F3AFC4">
              <w:rPr>
                <w:highlight w:val="white"/>
              </w:rPr>
              <w:lastRenderedPageBreak/>
              <w:t xml:space="preserve">que respondem ao tratamento e assume que não há benefícios adicionais após sua interrupção. Porém há críticas à validade externa do modelo. Os dados que alimentam o modelo são derivados principalmente dos ensaios clínicos TULIP-1, TULIP-2 e TULIP-LTE, considerados evidências indiretas, uma vez que a </w:t>
            </w:r>
            <w:r>
              <w:t xml:space="preserve">população desses estudos não </w:t>
            </w:r>
            <w:r w:rsidRPr="50F3AFC4">
              <w:rPr>
                <w:highlight w:val="white"/>
              </w:rPr>
              <w:t xml:space="preserve">é representativa daquela de interesse </w:t>
            </w:r>
            <w:proofErr w:type="spellStart"/>
            <w:r w:rsidRPr="50F3AFC4">
              <w:rPr>
                <w:highlight w:val="white"/>
              </w:rPr>
              <w:t>na</w:t>
            </w:r>
            <w:proofErr w:type="spellEnd"/>
            <w:r w:rsidRPr="50F3AFC4">
              <w:rPr>
                <w:highlight w:val="white"/>
              </w:rPr>
              <w:t xml:space="preserve"> PICO e na DUT</w:t>
            </w:r>
            <w:r>
              <w:t xml:space="preserve">. Os valores adotados no modelo para o alcance de LLDAS, parâmetro central do modelo, não constam nas referências apontadas no dossiê, o que representa uma fragilidade da análise. Quanto aos </w:t>
            </w:r>
            <w:r w:rsidRPr="50F3AFC4">
              <w:rPr>
                <w:highlight w:val="white"/>
              </w:rPr>
              <w:t xml:space="preserve">custos com medicamentos, consideramos a abordagem adotada pelo proponente inadequada para o contexto da ANS, ao considerar custo de medicamentos orais, que não se enquadram na perspectiva da saúde suplementar (prednisona, hidroxicloroquina, </w:t>
            </w:r>
            <w:proofErr w:type="spellStart"/>
            <w:r w:rsidRPr="50F3AFC4">
              <w:rPr>
                <w:highlight w:val="white"/>
              </w:rPr>
              <w:t>micofenolato</w:t>
            </w:r>
            <w:proofErr w:type="spellEnd"/>
            <w:r w:rsidRPr="50F3AFC4">
              <w:rPr>
                <w:highlight w:val="white"/>
              </w:rPr>
              <w:t xml:space="preserve">, metotrexato, ciclofosfamida e </w:t>
            </w:r>
            <w:proofErr w:type="spellStart"/>
            <w:r w:rsidRPr="50F3AFC4">
              <w:rPr>
                <w:highlight w:val="white"/>
              </w:rPr>
              <w:t>azatioprina</w:t>
            </w:r>
            <w:proofErr w:type="spellEnd"/>
            <w:r w:rsidRPr="50F3AFC4">
              <w:rPr>
                <w:highlight w:val="white"/>
              </w:rPr>
              <w:t xml:space="preserve">). Custos com eventos adversos parecem ter sido superestimados, e </w:t>
            </w:r>
            <w:r>
              <w:t xml:space="preserve">há falta de transparência e detalhamento sobre os dados de custos de hospitalização, de eventos SDI e óbitos. </w:t>
            </w:r>
          </w:p>
          <w:p w14:paraId="3BAFE7D7" w14:textId="77777777" w:rsidR="00817793" w:rsidRDefault="002719FC">
            <w:pPr>
              <w:spacing w:before="120" w:after="120" w:line="240" w:lineRule="auto"/>
            </w:pPr>
            <w:r>
              <w:t>Há ainda problemas de validade interna na planilha eletrônica de custo-utilidade: a planilha eletrônica apresenta erros e inconsistências (por exemplo, não estava calculando a RCUI quando recém-aberta pela falta de nomear corretamente um parâmetro utilizado em uma fórmula), o que agrega incerteza à análise. Após correções dessas inconsistências, os pareceristas obtiveram uma RCUI de R$271.388,15/AVAQ.</w:t>
            </w:r>
          </w:p>
          <w:p w14:paraId="18828D8E" w14:textId="77777777" w:rsidR="00817793" w:rsidRDefault="002719FC">
            <w:pPr>
              <w:spacing w:before="120" w:after="120" w:line="240" w:lineRule="auto"/>
            </w:pPr>
            <w:r>
              <w:t xml:space="preserve">O dossiê conclui que o </w:t>
            </w:r>
            <w:proofErr w:type="spellStart"/>
            <w:r>
              <w:t>anifrolumabe</w:t>
            </w:r>
            <w:proofErr w:type="spellEnd"/>
            <w:r>
              <w:t xml:space="preserve"> + tratamento padrão apresenta uma efetividade incremental de 0,174 AVAQ em comparação ao tratamento padrão. Porém, destacamos que a porcentagem máxima de pacientes que atingiram a meta desejada de LLDAS foi de 27,4%, marca essa atingida na semana 52 de tratamento. Desse momento em diante, essa porcentagem decresce, atingindo valores inferiores a 10% na semana 192, culminando em 1,8% ao final do horizonte temporal de 40 anos.</w:t>
            </w:r>
          </w:p>
        </w:tc>
      </w:tr>
    </w:tbl>
    <w:p w14:paraId="49206A88" w14:textId="77777777" w:rsidR="00817793" w:rsidRDefault="00817793">
      <w:pPr>
        <w:rPr>
          <w:smallCaps/>
          <w:highlight w:val="cyan"/>
        </w:rPr>
      </w:pPr>
    </w:p>
    <w:p w14:paraId="69AAFDAC" w14:textId="77777777" w:rsidR="00817793" w:rsidRDefault="002719FC">
      <w:pPr>
        <w:pStyle w:val="Ttulo2"/>
      </w:pPr>
      <w:bookmarkStart w:id="49" w:name="_3as4poj" w:colFirst="0" w:colLast="0"/>
      <w:bookmarkEnd w:id="49"/>
      <w:r>
        <w:t>6.1 Métodos</w:t>
      </w:r>
    </w:p>
    <w:p w14:paraId="10A532DD" w14:textId="77777777" w:rsidR="00817793" w:rsidRDefault="002719FC">
      <w:r>
        <w:t xml:space="preserve">A avaliação econômica apresentada pelo proponente foi construída considerando os parâmetros apresentados e comentados no </w:t>
      </w:r>
      <w:r>
        <w:rPr>
          <w:b/>
        </w:rPr>
        <w:t>Quadro 21.</w:t>
      </w:r>
      <w:r>
        <w:t xml:space="preserve"> </w:t>
      </w:r>
    </w:p>
    <w:p w14:paraId="4C5F8DAA" w14:textId="77777777" w:rsidR="00817793" w:rsidRDefault="002719FC">
      <w:pPr>
        <w:pStyle w:val="Ttulo4"/>
      </w:pPr>
      <w:bookmarkStart w:id="50" w:name="_smh5z22igz9y" w:colFirst="0" w:colLast="0"/>
      <w:bookmarkEnd w:id="50"/>
      <w:r>
        <w:rPr>
          <w:b/>
        </w:rPr>
        <w:t>Quadro 21.</w:t>
      </w:r>
      <w:r>
        <w:t xml:space="preserve"> Parâmetros da avaliação econômica.</w:t>
      </w:r>
    </w:p>
    <w:tbl>
      <w:tblPr>
        <w:tblStyle w:val="aff1"/>
        <w:tblW w:w="88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72"/>
        <w:gridCol w:w="2493"/>
        <w:gridCol w:w="4215"/>
      </w:tblGrid>
      <w:tr w:rsidR="00817793" w14:paraId="12B8A20D" w14:textId="77777777">
        <w:trPr>
          <w:trHeight w:val="454"/>
          <w:jc w:val="center"/>
        </w:trPr>
        <w:tc>
          <w:tcPr>
            <w:tcW w:w="2171" w:type="dxa"/>
            <w:shd w:val="clear" w:color="auto" w:fill="D9E2F3"/>
          </w:tcPr>
          <w:p w14:paraId="329A9AA7" w14:textId="77777777" w:rsidR="00817793" w:rsidRDefault="002719FC">
            <w:pPr>
              <w:spacing w:before="120" w:after="120" w:line="240" w:lineRule="auto"/>
              <w:jc w:val="center"/>
              <w:rPr>
                <w:b/>
              </w:rPr>
            </w:pPr>
            <w:r>
              <w:rPr>
                <w:b/>
              </w:rPr>
              <w:t>Parâmetro</w:t>
            </w:r>
          </w:p>
        </w:tc>
        <w:tc>
          <w:tcPr>
            <w:tcW w:w="2493" w:type="dxa"/>
            <w:shd w:val="clear" w:color="auto" w:fill="D9E2F3"/>
          </w:tcPr>
          <w:p w14:paraId="685198DB" w14:textId="77777777" w:rsidR="00817793" w:rsidRDefault="002719FC">
            <w:pPr>
              <w:spacing w:before="120" w:after="120" w:line="240" w:lineRule="auto"/>
              <w:jc w:val="center"/>
              <w:rPr>
                <w:b/>
              </w:rPr>
            </w:pPr>
            <w:r>
              <w:rPr>
                <w:b/>
              </w:rPr>
              <w:t>Proponente</w:t>
            </w:r>
          </w:p>
        </w:tc>
        <w:tc>
          <w:tcPr>
            <w:tcW w:w="4215" w:type="dxa"/>
            <w:shd w:val="clear" w:color="auto" w:fill="D9E2F3"/>
          </w:tcPr>
          <w:p w14:paraId="18DC40CE" w14:textId="77777777" w:rsidR="00817793" w:rsidRDefault="002719FC">
            <w:pPr>
              <w:spacing w:before="120" w:after="120" w:line="240" w:lineRule="auto"/>
              <w:jc w:val="center"/>
              <w:rPr>
                <w:b/>
              </w:rPr>
            </w:pPr>
            <w:r>
              <w:rPr>
                <w:b/>
              </w:rPr>
              <w:t>Análise da proposta</w:t>
            </w:r>
          </w:p>
        </w:tc>
      </w:tr>
      <w:tr w:rsidR="00817793" w14:paraId="43F68BCA" w14:textId="77777777">
        <w:trPr>
          <w:trHeight w:val="454"/>
          <w:jc w:val="center"/>
        </w:trPr>
        <w:tc>
          <w:tcPr>
            <w:tcW w:w="2171" w:type="dxa"/>
            <w:shd w:val="clear" w:color="auto" w:fill="auto"/>
          </w:tcPr>
          <w:p w14:paraId="6EF9D614" w14:textId="77777777" w:rsidR="00817793" w:rsidRDefault="002719FC">
            <w:pPr>
              <w:spacing w:before="120" w:after="120" w:line="240" w:lineRule="auto"/>
              <w:jc w:val="center"/>
              <w:rPr>
                <w:b/>
              </w:rPr>
            </w:pPr>
            <w:r>
              <w:rPr>
                <w:b/>
              </w:rPr>
              <w:t>Perspectiva</w:t>
            </w:r>
          </w:p>
        </w:tc>
        <w:tc>
          <w:tcPr>
            <w:tcW w:w="2493" w:type="dxa"/>
            <w:shd w:val="clear" w:color="auto" w:fill="auto"/>
          </w:tcPr>
          <w:p w14:paraId="70FC1697" w14:textId="77777777" w:rsidR="00817793" w:rsidRDefault="002719FC">
            <w:pPr>
              <w:spacing w:before="120" w:after="120" w:line="240" w:lineRule="auto"/>
              <w:jc w:val="center"/>
            </w:pPr>
            <w:r>
              <w:t>Saúde suplementar</w:t>
            </w:r>
          </w:p>
        </w:tc>
        <w:tc>
          <w:tcPr>
            <w:tcW w:w="4215" w:type="dxa"/>
          </w:tcPr>
          <w:p w14:paraId="5E43AE28" w14:textId="77777777" w:rsidR="00817793" w:rsidRDefault="002719FC">
            <w:pPr>
              <w:spacing w:before="120" w:after="120" w:line="240" w:lineRule="auto"/>
              <w:jc w:val="center"/>
              <w:rPr>
                <w:highlight w:val="yellow"/>
              </w:rPr>
            </w:pPr>
            <w:r>
              <w:t>Adequada</w:t>
            </w:r>
          </w:p>
        </w:tc>
      </w:tr>
      <w:tr w:rsidR="00817793" w14:paraId="5038291C" w14:textId="77777777">
        <w:trPr>
          <w:trHeight w:val="454"/>
          <w:jc w:val="center"/>
        </w:trPr>
        <w:tc>
          <w:tcPr>
            <w:tcW w:w="2171" w:type="dxa"/>
            <w:shd w:val="clear" w:color="auto" w:fill="auto"/>
          </w:tcPr>
          <w:p w14:paraId="38B45513" w14:textId="77777777" w:rsidR="00817793" w:rsidRDefault="002719FC">
            <w:pPr>
              <w:spacing w:before="120" w:after="120" w:line="240" w:lineRule="auto"/>
              <w:jc w:val="center"/>
              <w:rPr>
                <w:b/>
              </w:rPr>
            </w:pPr>
            <w:r>
              <w:rPr>
                <w:b/>
              </w:rPr>
              <w:t>Horizonte temporal</w:t>
            </w:r>
          </w:p>
        </w:tc>
        <w:tc>
          <w:tcPr>
            <w:tcW w:w="2493" w:type="dxa"/>
            <w:shd w:val="clear" w:color="auto" w:fill="auto"/>
          </w:tcPr>
          <w:p w14:paraId="7535668E" w14:textId="77777777" w:rsidR="00817793" w:rsidRDefault="002719FC">
            <w:pPr>
              <w:spacing w:before="120" w:after="120" w:line="240" w:lineRule="auto"/>
              <w:jc w:val="center"/>
            </w:pPr>
            <w:r>
              <w:t>40 anos</w:t>
            </w:r>
          </w:p>
        </w:tc>
        <w:tc>
          <w:tcPr>
            <w:tcW w:w="4215" w:type="dxa"/>
          </w:tcPr>
          <w:p w14:paraId="202CFFC1" w14:textId="77777777" w:rsidR="00817793" w:rsidRDefault="002719FC">
            <w:pPr>
              <w:spacing w:before="120" w:after="120" w:line="240" w:lineRule="auto"/>
              <w:rPr>
                <w:i/>
              </w:rPr>
            </w:pPr>
            <w:r>
              <w:t>Parcialmente adequado. Proponente justifica que o horizonte temporal de quarenta anos após o início do tratamento permite a inclusão de benefícios e custos para toda a vida (</w:t>
            </w:r>
            <w:proofErr w:type="spellStart"/>
            <w:r>
              <w:rPr>
                <w:i/>
              </w:rPr>
              <w:t>lifetime</w:t>
            </w:r>
            <w:proofErr w:type="spellEnd"/>
            <w:r>
              <w:t xml:space="preserve">). Esse racional é adequado considerando-se a premissa adotada pelo Proponente de que os </w:t>
            </w:r>
            <w:r>
              <w:lastRenderedPageBreak/>
              <w:t xml:space="preserve">indivíduos ingressam no modelo com 42 anos de idade. No entanto, a população contemplada na proposta de submissão e na DUT compreende indivíduos a partir dos 18 anos de idade, e para essa população o horizonte temporal de 40 anos não representa </w:t>
            </w:r>
            <w:proofErr w:type="spellStart"/>
            <w:r>
              <w:rPr>
                <w:i/>
              </w:rPr>
              <w:t>lifetime</w:t>
            </w:r>
            <w:proofErr w:type="spellEnd"/>
            <w:r>
              <w:rPr>
                <w:i/>
              </w:rPr>
              <w:t xml:space="preserve">. </w:t>
            </w:r>
          </w:p>
        </w:tc>
      </w:tr>
      <w:tr w:rsidR="00817793" w14:paraId="790E42F4" w14:textId="77777777">
        <w:trPr>
          <w:trHeight w:val="454"/>
          <w:jc w:val="center"/>
        </w:trPr>
        <w:tc>
          <w:tcPr>
            <w:tcW w:w="2171" w:type="dxa"/>
            <w:shd w:val="clear" w:color="auto" w:fill="auto"/>
          </w:tcPr>
          <w:p w14:paraId="69C8D044" w14:textId="77777777" w:rsidR="00817793" w:rsidRDefault="002719FC">
            <w:pPr>
              <w:spacing w:before="120" w:after="120" w:line="240" w:lineRule="auto"/>
              <w:jc w:val="center"/>
              <w:rPr>
                <w:b/>
              </w:rPr>
            </w:pPr>
            <w:r>
              <w:rPr>
                <w:b/>
              </w:rPr>
              <w:t>População-alvo</w:t>
            </w:r>
          </w:p>
        </w:tc>
        <w:tc>
          <w:tcPr>
            <w:tcW w:w="2493" w:type="dxa"/>
            <w:shd w:val="clear" w:color="auto" w:fill="auto"/>
          </w:tcPr>
          <w:p w14:paraId="65F0BF07" w14:textId="77777777" w:rsidR="00817793" w:rsidRDefault="002719FC">
            <w:pPr>
              <w:spacing w:before="120" w:after="120" w:line="240" w:lineRule="auto"/>
            </w:pPr>
            <w:r>
              <w:t>Pacientes adultos com LES em moderada a alta atividade da doença, que foram tratados com terapia tripla com hidroxicloroquina + corticosteroide (prednisona ≥7,5 mg/dia ou equivalente) + imunossupressor (</w:t>
            </w:r>
            <w:proofErr w:type="spellStart"/>
            <w:r>
              <w:t>azatioprina</w:t>
            </w:r>
            <w:proofErr w:type="spellEnd"/>
            <w:r>
              <w:t xml:space="preserve"> 2 mg/kg/dia ou </w:t>
            </w:r>
            <w:proofErr w:type="spellStart"/>
            <w:r>
              <w:t>micofenolato</w:t>
            </w:r>
            <w:proofErr w:type="spellEnd"/>
            <w:r>
              <w:t xml:space="preserve"> 1-3 mg/dia ou metotrexato ≥20 mg). O modelo utilizou dados de eficácia na subpopulação de pacientes com Índice de Atividade da Doença do Lúpus Eritematoso Sistêmico (SLEDAI) ≥ 10, e apresenta uma análise adicional para a população total dos estudos TULIP (pacientes com SLEDAI ≥ 6).</w:t>
            </w:r>
          </w:p>
        </w:tc>
        <w:tc>
          <w:tcPr>
            <w:tcW w:w="4215" w:type="dxa"/>
          </w:tcPr>
          <w:p w14:paraId="248F3AD2" w14:textId="77777777" w:rsidR="00817793" w:rsidRDefault="002719FC">
            <w:pPr>
              <w:spacing w:before="120" w:after="120" w:line="240" w:lineRule="auto"/>
              <w:rPr>
                <w:sz w:val="15"/>
                <w:szCs w:val="15"/>
                <w:highlight w:val="white"/>
              </w:rPr>
            </w:pPr>
            <w:r>
              <w:t xml:space="preserve">Parcialmente adequado (inferência a partir de uso indireto das evidências disponíveis). </w:t>
            </w:r>
            <w:r>
              <w:rPr>
                <w:highlight w:val="white"/>
              </w:rPr>
              <w:t xml:space="preserve">A população dos estudos empregados na análise não é representativa daquela de interesse </w:t>
            </w:r>
            <w:proofErr w:type="spellStart"/>
            <w:r>
              <w:rPr>
                <w:highlight w:val="white"/>
              </w:rPr>
              <w:t>na</w:t>
            </w:r>
            <w:proofErr w:type="spellEnd"/>
            <w:r>
              <w:rPr>
                <w:highlight w:val="white"/>
              </w:rPr>
              <w:t xml:space="preserve"> PICO e na DUT, uma vez que nem todos os indivíduos nesses estudos estão em terapia tripla ou em uso de corticosteroide na dose definida (prednisona ≥ 7,5 mg ou equivalente).</w:t>
            </w:r>
          </w:p>
          <w:p w14:paraId="67B7A70C" w14:textId="77777777" w:rsidR="00817793" w:rsidRDefault="00817793">
            <w:pPr>
              <w:spacing w:before="120" w:after="120" w:line="240" w:lineRule="auto"/>
            </w:pPr>
          </w:p>
          <w:p w14:paraId="71887C79" w14:textId="77777777" w:rsidR="00817793" w:rsidRDefault="00817793">
            <w:pPr>
              <w:spacing w:before="120" w:after="120" w:line="240" w:lineRule="auto"/>
              <w:rPr>
                <w:i/>
                <w:color w:val="FF0000"/>
              </w:rPr>
            </w:pPr>
          </w:p>
          <w:p w14:paraId="3B7FD67C" w14:textId="77777777" w:rsidR="00817793" w:rsidRDefault="00817793">
            <w:pPr>
              <w:spacing w:before="120" w:after="120" w:line="240" w:lineRule="auto"/>
              <w:rPr>
                <w:i/>
                <w:color w:val="FF0000"/>
              </w:rPr>
            </w:pPr>
          </w:p>
        </w:tc>
      </w:tr>
      <w:tr w:rsidR="00817793" w14:paraId="60C6A29B" w14:textId="77777777">
        <w:trPr>
          <w:trHeight w:val="454"/>
          <w:jc w:val="center"/>
        </w:trPr>
        <w:tc>
          <w:tcPr>
            <w:tcW w:w="2171" w:type="dxa"/>
            <w:shd w:val="clear" w:color="auto" w:fill="auto"/>
          </w:tcPr>
          <w:p w14:paraId="1BE826B1" w14:textId="77777777" w:rsidR="00817793" w:rsidRDefault="002719FC">
            <w:pPr>
              <w:spacing w:before="120" w:after="120" w:line="240" w:lineRule="auto"/>
              <w:jc w:val="center"/>
              <w:rPr>
                <w:b/>
              </w:rPr>
            </w:pPr>
            <w:r>
              <w:rPr>
                <w:b/>
              </w:rPr>
              <w:t>Tecnologia</w:t>
            </w:r>
          </w:p>
        </w:tc>
        <w:tc>
          <w:tcPr>
            <w:tcW w:w="2493" w:type="dxa"/>
            <w:shd w:val="clear" w:color="auto" w:fill="auto"/>
          </w:tcPr>
          <w:p w14:paraId="5CA947B3" w14:textId="77777777" w:rsidR="00817793" w:rsidRDefault="002719FC">
            <w:pPr>
              <w:spacing w:before="120" w:after="120" w:line="240" w:lineRule="auto"/>
              <w:jc w:val="center"/>
            </w:pPr>
            <w:proofErr w:type="spellStart"/>
            <w:r>
              <w:t>Anifrolumabe</w:t>
            </w:r>
            <w:proofErr w:type="spellEnd"/>
            <w:r>
              <w:t xml:space="preserve"> 300 mg + tratamento padrão</w:t>
            </w:r>
          </w:p>
        </w:tc>
        <w:tc>
          <w:tcPr>
            <w:tcW w:w="4215" w:type="dxa"/>
          </w:tcPr>
          <w:p w14:paraId="51E09D67" w14:textId="77777777" w:rsidR="00817793" w:rsidRDefault="002719FC">
            <w:pPr>
              <w:spacing w:before="120" w:after="120" w:line="240" w:lineRule="auto"/>
              <w:jc w:val="center"/>
              <w:rPr>
                <w:highlight w:val="lightGray"/>
              </w:rPr>
            </w:pPr>
            <w:r>
              <w:t xml:space="preserve">Alinhado ao PICO: Sim. </w:t>
            </w:r>
          </w:p>
        </w:tc>
      </w:tr>
      <w:tr w:rsidR="00817793" w14:paraId="5AE87BAB" w14:textId="77777777">
        <w:trPr>
          <w:trHeight w:val="454"/>
          <w:jc w:val="center"/>
        </w:trPr>
        <w:tc>
          <w:tcPr>
            <w:tcW w:w="2171" w:type="dxa"/>
            <w:shd w:val="clear" w:color="auto" w:fill="auto"/>
          </w:tcPr>
          <w:p w14:paraId="378647A9" w14:textId="77777777" w:rsidR="00817793" w:rsidRDefault="002719FC">
            <w:pPr>
              <w:spacing w:before="120" w:after="120" w:line="240" w:lineRule="auto"/>
              <w:jc w:val="center"/>
              <w:rPr>
                <w:b/>
              </w:rPr>
            </w:pPr>
            <w:r>
              <w:rPr>
                <w:b/>
              </w:rPr>
              <w:t>Comparador</w:t>
            </w:r>
          </w:p>
        </w:tc>
        <w:tc>
          <w:tcPr>
            <w:tcW w:w="2493" w:type="dxa"/>
            <w:shd w:val="clear" w:color="auto" w:fill="auto"/>
          </w:tcPr>
          <w:p w14:paraId="57C0B8E8" w14:textId="77777777" w:rsidR="00817793" w:rsidRDefault="002719FC">
            <w:pPr>
              <w:spacing w:before="120" w:after="120" w:line="240" w:lineRule="auto"/>
            </w:pPr>
            <w:r>
              <w:t>Tratamento padrão, que inclui o uso de hidroxicloroquina (no modelo utilizada em todos os pacientes) associado a um imunossupressor (</w:t>
            </w:r>
            <w:proofErr w:type="spellStart"/>
            <w:r>
              <w:t>micofenolato</w:t>
            </w:r>
            <w:proofErr w:type="spellEnd"/>
            <w:r>
              <w:t xml:space="preserve">, </w:t>
            </w:r>
            <w:r>
              <w:lastRenderedPageBreak/>
              <w:t xml:space="preserve">metotrexato, ciclofosfamida ou </w:t>
            </w:r>
            <w:proofErr w:type="spellStart"/>
            <w:r>
              <w:t>azatioprina</w:t>
            </w:r>
            <w:proofErr w:type="spellEnd"/>
            <w:r>
              <w:t>, sendo considerada a mesma frequência de uso para cada imunossupressor). O modelo considera o uso de corticosteroides conforme as diferentes doses e respectivas proporções de pacientes em uso dos estudos TULIP-1, TULIP-2 e TULIP-LTE</w:t>
            </w:r>
          </w:p>
        </w:tc>
        <w:tc>
          <w:tcPr>
            <w:tcW w:w="4215" w:type="dxa"/>
          </w:tcPr>
          <w:p w14:paraId="6ADB532B" w14:textId="64EF2ECE" w:rsidR="00817793" w:rsidRDefault="002719FC">
            <w:pPr>
              <w:spacing w:before="120" w:after="120" w:line="240" w:lineRule="auto"/>
              <w:rPr>
                <w:i/>
                <w:color w:val="FF0000"/>
              </w:rPr>
            </w:pPr>
            <w:r>
              <w:lastRenderedPageBreak/>
              <w:t>Parcialmente alinhado ao PICO. Na proposta de utilização, o comparador corresponde a tratamento padrão com terapia tripla com hidroxicloroquina + corticosteroide (prednisona ≥ 7,5 mg ou equivalente) + um imunossupressor (</w:t>
            </w:r>
            <w:proofErr w:type="spellStart"/>
            <w:r>
              <w:rPr>
                <w:highlight w:val="white"/>
              </w:rPr>
              <w:t>micofenolato</w:t>
            </w:r>
            <w:proofErr w:type="spellEnd"/>
            <w:r>
              <w:rPr>
                <w:highlight w:val="white"/>
              </w:rPr>
              <w:t xml:space="preserve">, metotrexato e </w:t>
            </w:r>
            <w:proofErr w:type="spellStart"/>
            <w:r>
              <w:rPr>
                <w:highlight w:val="white"/>
              </w:rPr>
              <w:t>azatioprina</w:t>
            </w:r>
            <w:proofErr w:type="spellEnd"/>
            <w:r>
              <w:rPr>
                <w:highlight w:val="white"/>
              </w:rPr>
              <w:t>)</w:t>
            </w:r>
            <w:r>
              <w:t xml:space="preserve">. Com relação ao imunossupressor, há críticas quanto a </w:t>
            </w:r>
            <w:r>
              <w:lastRenderedPageBreak/>
              <w:t>adoção arbitrária da mesma frequência de uso para cada imunossupressor. Além disso, ciclofosfamida não deve ser empregada como imunossupressor na população-alvo, uma vez que é indicada para pacientes com LES que apresentam manifestações renais ou neuropsiquiátricas.</w:t>
            </w:r>
          </w:p>
          <w:p w14:paraId="761E40FA" w14:textId="77777777" w:rsidR="00817793" w:rsidRDefault="002719FC">
            <w:pPr>
              <w:spacing w:before="120" w:after="120" w:line="240" w:lineRule="auto"/>
              <w:rPr>
                <w:i/>
                <w:color w:val="FF0000"/>
                <w:highlight w:val="cyan"/>
              </w:rPr>
            </w:pPr>
            <w:r>
              <w:t xml:space="preserve">Quanto ao corticosteroide, o modelo considera que a maioria dos pacientes recebe dose inferior a 7,5 mg de prednisona ou equivalente, sendo que uma proporção considerável não recebe corticosteroide, o que diverge da PICO. Os dados de uso das diferentes doses e respectivas proporções estão de acordo com o estudo referenciado. Para o braço </w:t>
            </w:r>
            <w:proofErr w:type="spellStart"/>
            <w:r>
              <w:t>anifrolumabe</w:t>
            </w:r>
            <w:proofErr w:type="spellEnd"/>
            <w:r>
              <w:t xml:space="preserve">, foram empregados os dados dos anos de 1-4 do estudo TULIP-LTE. Já para o braço terapia padrão, foram empregados apenas os dados do ano 1 desse mesmo estudo, sem qualquer justificativa para tal conduta. </w:t>
            </w:r>
          </w:p>
        </w:tc>
      </w:tr>
      <w:tr w:rsidR="00817793" w14:paraId="5AEAC264" w14:textId="77777777">
        <w:trPr>
          <w:trHeight w:val="454"/>
          <w:jc w:val="center"/>
        </w:trPr>
        <w:tc>
          <w:tcPr>
            <w:tcW w:w="2171" w:type="dxa"/>
            <w:shd w:val="clear" w:color="auto" w:fill="auto"/>
          </w:tcPr>
          <w:p w14:paraId="662B32EF" w14:textId="77777777" w:rsidR="00817793" w:rsidRDefault="002719FC">
            <w:pPr>
              <w:spacing w:before="120" w:after="120" w:line="240" w:lineRule="auto"/>
              <w:jc w:val="center"/>
              <w:rPr>
                <w:b/>
              </w:rPr>
            </w:pPr>
            <w:r>
              <w:rPr>
                <w:b/>
              </w:rPr>
              <w:t>Taxa de desconto anual</w:t>
            </w:r>
          </w:p>
        </w:tc>
        <w:tc>
          <w:tcPr>
            <w:tcW w:w="2493" w:type="dxa"/>
            <w:shd w:val="clear" w:color="auto" w:fill="auto"/>
          </w:tcPr>
          <w:p w14:paraId="503D18F0" w14:textId="77777777" w:rsidR="00817793" w:rsidRDefault="002719FC">
            <w:pPr>
              <w:spacing w:before="120" w:after="120" w:line="240" w:lineRule="auto"/>
              <w:jc w:val="center"/>
            </w:pPr>
            <w:r>
              <w:t xml:space="preserve">5% </w:t>
            </w:r>
          </w:p>
        </w:tc>
        <w:tc>
          <w:tcPr>
            <w:tcW w:w="4215" w:type="dxa"/>
          </w:tcPr>
          <w:p w14:paraId="20A0C706" w14:textId="77777777" w:rsidR="00817793" w:rsidRDefault="002719FC">
            <w:pPr>
              <w:spacing w:before="120" w:after="120" w:line="240" w:lineRule="auto"/>
              <w:jc w:val="center"/>
            </w:pPr>
            <w:r>
              <w:t>Apropriado.</w:t>
            </w:r>
          </w:p>
          <w:p w14:paraId="40A0C296" w14:textId="77777777" w:rsidR="00817793" w:rsidRDefault="002719FC">
            <w:pPr>
              <w:spacing w:before="120" w:after="120" w:line="240" w:lineRule="auto"/>
              <w:jc w:val="center"/>
            </w:pPr>
            <w:r>
              <w:t>Fundamentado nas Diretrizes Metodológicas de Avaliação Econômica do Ministério da Saúde do Brasil</w:t>
            </w:r>
          </w:p>
        </w:tc>
      </w:tr>
      <w:tr w:rsidR="00817793" w14:paraId="5F6B2EC9" w14:textId="77777777">
        <w:trPr>
          <w:trHeight w:val="454"/>
          <w:jc w:val="center"/>
        </w:trPr>
        <w:tc>
          <w:tcPr>
            <w:tcW w:w="2171" w:type="dxa"/>
            <w:shd w:val="clear" w:color="auto" w:fill="auto"/>
          </w:tcPr>
          <w:p w14:paraId="2D56B53D" w14:textId="77777777" w:rsidR="00817793" w:rsidRDefault="002719FC">
            <w:pPr>
              <w:spacing w:before="120" w:after="120" w:line="240" w:lineRule="auto"/>
              <w:jc w:val="center"/>
              <w:rPr>
                <w:b/>
              </w:rPr>
            </w:pPr>
            <w:r>
              <w:rPr>
                <w:b/>
              </w:rPr>
              <w:t>Desfechos de saúde</w:t>
            </w:r>
          </w:p>
        </w:tc>
        <w:tc>
          <w:tcPr>
            <w:tcW w:w="2493" w:type="dxa"/>
            <w:shd w:val="clear" w:color="auto" w:fill="auto"/>
          </w:tcPr>
          <w:p w14:paraId="492EF7DC" w14:textId="77777777" w:rsidR="00817793" w:rsidRDefault="002719FC">
            <w:pPr>
              <w:spacing w:before="120" w:after="120" w:line="240" w:lineRule="auto"/>
              <w:jc w:val="center"/>
            </w:pPr>
            <w:r>
              <w:t>Anos de vida ganhos (AVG) e anos de vida ajustados pela qualidade (AVAQ)</w:t>
            </w:r>
          </w:p>
        </w:tc>
        <w:tc>
          <w:tcPr>
            <w:tcW w:w="4215" w:type="dxa"/>
          </w:tcPr>
          <w:p w14:paraId="5534F31F" w14:textId="77777777" w:rsidR="00817793" w:rsidRDefault="002719FC">
            <w:pPr>
              <w:spacing w:before="120" w:after="120" w:line="240" w:lineRule="auto"/>
              <w:jc w:val="center"/>
            </w:pPr>
            <w:r>
              <w:t>Adequado</w:t>
            </w:r>
          </w:p>
        </w:tc>
      </w:tr>
      <w:tr w:rsidR="00817793" w14:paraId="1A5BDA3F" w14:textId="77777777">
        <w:trPr>
          <w:trHeight w:val="454"/>
          <w:jc w:val="center"/>
        </w:trPr>
        <w:tc>
          <w:tcPr>
            <w:tcW w:w="2171" w:type="dxa"/>
            <w:shd w:val="clear" w:color="auto" w:fill="auto"/>
          </w:tcPr>
          <w:p w14:paraId="4548801A" w14:textId="77777777" w:rsidR="00817793" w:rsidRDefault="002719FC">
            <w:pPr>
              <w:spacing w:before="120" w:after="120" w:line="240" w:lineRule="auto"/>
              <w:jc w:val="center"/>
              <w:rPr>
                <w:b/>
              </w:rPr>
            </w:pPr>
            <w:r>
              <w:rPr>
                <w:b/>
              </w:rPr>
              <w:t>Mensuração da efetividade</w:t>
            </w:r>
          </w:p>
        </w:tc>
        <w:tc>
          <w:tcPr>
            <w:tcW w:w="2493" w:type="dxa"/>
            <w:shd w:val="clear" w:color="auto" w:fill="auto"/>
          </w:tcPr>
          <w:p w14:paraId="0833DEA9" w14:textId="77777777" w:rsidR="00817793" w:rsidRDefault="002719FC">
            <w:pPr>
              <w:spacing w:before="120" w:after="120" w:line="240" w:lineRule="auto"/>
            </w:pPr>
            <w:r>
              <w:t xml:space="preserve">- A efetividade do tratamento foi avaliada com base no alcance do estado de saúde </w:t>
            </w:r>
            <w:proofErr w:type="spellStart"/>
            <w:r>
              <w:rPr>
                <w:i/>
              </w:rPr>
              <w:t>Lupus</w:t>
            </w:r>
            <w:proofErr w:type="spellEnd"/>
            <w:r>
              <w:rPr>
                <w:i/>
              </w:rPr>
              <w:t xml:space="preserve"> </w:t>
            </w:r>
            <w:proofErr w:type="spellStart"/>
            <w:r>
              <w:rPr>
                <w:i/>
              </w:rPr>
              <w:t>Low</w:t>
            </w:r>
            <w:proofErr w:type="spellEnd"/>
            <w:r>
              <w:rPr>
                <w:i/>
              </w:rPr>
              <w:t xml:space="preserve"> </w:t>
            </w:r>
            <w:proofErr w:type="spellStart"/>
            <w:r>
              <w:rPr>
                <w:i/>
              </w:rPr>
              <w:t>Disease</w:t>
            </w:r>
            <w:proofErr w:type="spellEnd"/>
            <w:r>
              <w:rPr>
                <w:i/>
              </w:rPr>
              <w:t xml:space="preserve"> </w:t>
            </w:r>
            <w:proofErr w:type="spellStart"/>
            <w:r>
              <w:rPr>
                <w:i/>
              </w:rPr>
              <w:t>Activity</w:t>
            </w:r>
            <w:proofErr w:type="spellEnd"/>
            <w:r>
              <w:rPr>
                <w:i/>
              </w:rPr>
              <w:t xml:space="preserve"> </w:t>
            </w:r>
            <w:proofErr w:type="spellStart"/>
            <w:r>
              <w:rPr>
                <w:i/>
              </w:rPr>
              <w:t>State</w:t>
            </w:r>
            <w:proofErr w:type="spellEnd"/>
            <w:r>
              <w:t xml:space="preserve"> (LLDAS), que consiste em uma meta terapêutica preconizada pelas diretrizes da EULAR e em um estado de saúde caracterizado por apresentar menos exacerbações, redução </w:t>
            </w:r>
            <w:r>
              <w:lastRenderedPageBreak/>
              <w:t>de danos a órgãos, suspensão do uso de corticosteroides ou uso em baixa dose, e melhor qualidade de vida.</w:t>
            </w:r>
          </w:p>
          <w:p w14:paraId="10355C4C" w14:textId="77777777" w:rsidR="00817793" w:rsidRDefault="002719FC">
            <w:pPr>
              <w:spacing w:before="120" w:after="120" w:line="240" w:lineRule="auto"/>
            </w:pPr>
            <w:r>
              <w:t>- Foram considerados também a taxa de exacerbações e a taxa de danos aos órgãos (SDI) a partir de um estudo que comparou essas taxas em pacientes que estavam ou não em LLDAS e demonstrou uma redução significativa no risco de exacerbações e SDI em pacientes em LLDAS.</w:t>
            </w:r>
          </w:p>
          <w:p w14:paraId="3E829EC5" w14:textId="77777777" w:rsidR="00817793" w:rsidRDefault="002719FC">
            <w:pPr>
              <w:spacing w:before="120" w:after="120" w:line="240" w:lineRule="auto"/>
            </w:pPr>
            <w:r>
              <w:t>- O risco de óbito foi obtido a partir da mortalidade geral da população brasileira por sexo e idade, aplicando-se a mortalidade padronizada por idade de pacientes com lúpus. Foi considerado ainda o efeito na mortalidade da atividade da doença e do dano a órgãos, aplicando-se uma medida de redução no risco de óbito para pacientes em LLDAS.</w:t>
            </w:r>
          </w:p>
          <w:p w14:paraId="66223BB2" w14:textId="77777777" w:rsidR="00817793" w:rsidRDefault="002719FC">
            <w:pPr>
              <w:spacing w:before="120" w:after="120" w:line="240" w:lineRule="auto"/>
            </w:pPr>
            <w:r>
              <w:t xml:space="preserve">- A ocorrência de eventos adversos relacionados ao uso do </w:t>
            </w:r>
            <w:proofErr w:type="spellStart"/>
            <w:r>
              <w:t>anifrolumabe</w:t>
            </w:r>
            <w:proofErr w:type="spellEnd"/>
            <w:r>
              <w:t xml:space="preserve"> e terapia tripla foi estimada considerando-se os eventos adversos de qualquer gravidade ocorrendo em 5% ou mais dos pacientes em qualquer grupo nos </w:t>
            </w:r>
            <w:r>
              <w:lastRenderedPageBreak/>
              <w:t>estudos TULIP-1, TULIP-2 e MUSE. O risco de eventos adversos associados ao uso de corticosteroides foi estimado com base em estudo que avaliou diversos eventos adversos tanto na população em geral quanto em pacientes em uso de corticosteroides. Para pacientes em uso de corticosteroides acima de 7,5 mg por dia, considerou-se o mesmo risco para pacientes em uso de corticosteroides no referido estudo. Já para pacientes em uso de doses menores, o risco foi ajustado por meio de um cálculo que considerou um efeito dose-resposta linear na incidência de eventos adversos para diferentes dosagens de prednisona.</w:t>
            </w:r>
          </w:p>
        </w:tc>
        <w:tc>
          <w:tcPr>
            <w:tcW w:w="4215" w:type="dxa"/>
          </w:tcPr>
          <w:p w14:paraId="0ADDF2D9" w14:textId="77777777" w:rsidR="00817793" w:rsidRDefault="002719FC">
            <w:pPr>
              <w:spacing w:before="120" w:after="120" w:line="240" w:lineRule="auto"/>
            </w:pPr>
            <w:r>
              <w:lastRenderedPageBreak/>
              <w:t xml:space="preserve">- O parâmetro central do modelo é o alcance de LLDAS, pois dele derivam as probabilidades de transição entre os estados do modelo. Os dados referentes à porcentagem de pacientes em LLDAS, a cada ciclo, estão devidamente descritos na planilha, porém não correspondem aos resultados dos estudos referenciados no dossiê. Atribuímos incerteza a esses dados pela impossibilidade de avaliação dos estudos que os originaram. </w:t>
            </w:r>
          </w:p>
          <w:p w14:paraId="351B52B2" w14:textId="77777777" w:rsidR="00817793" w:rsidRDefault="002719FC">
            <w:pPr>
              <w:spacing w:before="120" w:after="120" w:line="240" w:lineRule="auto"/>
            </w:pPr>
            <w:r>
              <w:t xml:space="preserve">- As taxas de exacerbações e de danos aos órgãos (SDI) empregadas no modelo são de um estudo que avaliou a </w:t>
            </w:r>
            <w:proofErr w:type="spellStart"/>
            <w:r>
              <w:t>freqüência</w:t>
            </w:r>
            <w:proofErr w:type="spellEnd"/>
            <w:r>
              <w:t xml:space="preserve"> dos diferentes tipos de lesões irreversíveis que ocorrem em pacientes com LES com mais de cinco anos de doença, portanto uma população diferente da considerada na PICO. </w:t>
            </w:r>
          </w:p>
          <w:p w14:paraId="4EDC3560" w14:textId="77777777" w:rsidR="00817793" w:rsidRDefault="002719FC">
            <w:pPr>
              <w:spacing w:before="120" w:after="120" w:line="240" w:lineRule="auto"/>
            </w:pPr>
            <w:r>
              <w:t>- As complicações associadas ao uso de corticosteroides foram estimadas com base em um estudo que apresenta fragilidades. A maioria da população (77%) tem LES leve, o que diverge da PICO. Além disso, o modelo não considerou todos os eventos adversos descritos no estudo, e não apresentou justificativa para tal conduta.</w:t>
            </w:r>
          </w:p>
          <w:p w14:paraId="38D6B9B6" w14:textId="77777777" w:rsidR="00817793" w:rsidRDefault="00817793">
            <w:pPr>
              <w:spacing w:before="120" w:after="120" w:line="240" w:lineRule="auto"/>
              <w:rPr>
                <w:i/>
                <w:color w:val="FF0000"/>
                <w:highlight w:val="cyan"/>
              </w:rPr>
            </w:pPr>
          </w:p>
        </w:tc>
      </w:tr>
      <w:tr w:rsidR="00817793" w14:paraId="2F8CF18F" w14:textId="77777777">
        <w:trPr>
          <w:trHeight w:val="454"/>
          <w:jc w:val="center"/>
        </w:trPr>
        <w:tc>
          <w:tcPr>
            <w:tcW w:w="2171" w:type="dxa"/>
            <w:shd w:val="clear" w:color="auto" w:fill="auto"/>
          </w:tcPr>
          <w:p w14:paraId="3341C303" w14:textId="77777777" w:rsidR="00817793" w:rsidRDefault="002719FC">
            <w:pPr>
              <w:spacing w:before="120" w:after="120" w:line="240" w:lineRule="auto"/>
              <w:jc w:val="center"/>
              <w:rPr>
                <w:b/>
              </w:rPr>
            </w:pPr>
            <w:r>
              <w:rPr>
                <w:b/>
              </w:rPr>
              <w:lastRenderedPageBreak/>
              <w:t xml:space="preserve">Medidas e quantificação de desfechos baseados em preferência </w:t>
            </w:r>
            <w:r>
              <w:rPr>
                <w:b/>
                <w:i/>
              </w:rPr>
              <w:t>(</w:t>
            </w:r>
            <w:proofErr w:type="spellStart"/>
            <w:r>
              <w:rPr>
                <w:b/>
                <w:i/>
              </w:rPr>
              <w:t>utility</w:t>
            </w:r>
            <w:proofErr w:type="spellEnd"/>
            <w:r>
              <w:rPr>
                <w:b/>
                <w:i/>
              </w:rPr>
              <w:t>)</w:t>
            </w:r>
          </w:p>
        </w:tc>
        <w:tc>
          <w:tcPr>
            <w:tcW w:w="2493" w:type="dxa"/>
            <w:shd w:val="clear" w:color="auto" w:fill="auto"/>
          </w:tcPr>
          <w:p w14:paraId="2179A584" w14:textId="39F27EC7" w:rsidR="00817793" w:rsidRDefault="002719FC">
            <w:pPr>
              <w:spacing w:before="120" w:after="120" w:line="240" w:lineRule="auto"/>
            </w:pPr>
            <w:r>
              <w:t xml:space="preserve">A utilidade associada a cada ano de vida dos pacientes foi calculada somando os valores de utilidade dos estados de saúde (LLDAS, não LLDAS ou óbito) às </w:t>
            </w:r>
            <w:proofErr w:type="spellStart"/>
            <w:r>
              <w:t>desutilidades</w:t>
            </w:r>
            <w:proofErr w:type="spellEnd"/>
            <w:r>
              <w:t xml:space="preserve"> associadas a eventos adversos e eventos SDI. Para determinar a utilidade dos diferentes estados de saúde, foram utilizados os valores do EuroQol-5D de um estudo no qual a utilidade foi classificada </w:t>
            </w:r>
            <w:r>
              <w:lastRenderedPageBreak/>
              <w:t xml:space="preserve">com base na atividade da doença (SLEDAI-2K entre 0 e 4 e SLEDAI-2K &gt;4), considerada consistente com os estados de saúde do modelo econômico (LLDAS e não LLDAS). As </w:t>
            </w:r>
            <w:proofErr w:type="spellStart"/>
            <w:r>
              <w:t>desutilidades</w:t>
            </w:r>
            <w:proofErr w:type="spellEnd"/>
            <w:r>
              <w:t xml:space="preserve"> associadas a exacerbações, eventos SDI e eventos adversos foram obtidas a partir da literatura. Para exacerbações e eventos adversos, a duração dos eventos correspondeu a um ciclo do modelo (28 dias), enquanto para eventos SDI, que correspondem a lesões orgânicas associadas </w:t>
            </w:r>
            <w:proofErr w:type="gramStart"/>
            <w:r>
              <w:t>ao</w:t>
            </w:r>
            <w:r w:rsidR="00826382">
              <w:t xml:space="preserve"> </w:t>
            </w:r>
            <w:r>
              <w:t>lúpus</w:t>
            </w:r>
            <w:proofErr w:type="gramEnd"/>
            <w:r>
              <w:t>, a duração do evento foi de um ano.</w:t>
            </w:r>
          </w:p>
          <w:p w14:paraId="22F860BB" w14:textId="77777777" w:rsidR="00817793" w:rsidRDefault="00817793">
            <w:pPr>
              <w:spacing w:before="120" w:after="120" w:line="240" w:lineRule="auto"/>
            </w:pPr>
          </w:p>
          <w:p w14:paraId="698536F5" w14:textId="77777777" w:rsidR="00817793" w:rsidRDefault="00817793">
            <w:pPr>
              <w:spacing w:before="120" w:after="120" w:line="240" w:lineRule="auto"/>
            </w:pPr>
          </w:p>
        </w:tc>
        <w:tc>
          <w:tcPr>
            <w:tcW w:w="4215" w:type="dxa"/>
          </w:tcPr>
          <w:p w14:paraId="3EDA30E3" w14:textId="77777777" w:rsidR="00817793" w:rsidRDefault="002719FC">
            <w:pPr>
              <w:spacing w:before="120" w:after="120" w:line="240" w:lineRule="auto"/>
            </w:pPr>
            <w:r>
              <w:lastRenderedPageBreak/>
              <w:t>Conforme apontado pelo proponente, os dados de utilidade foram obtidos de estudo que não contemplou todos os critérios da classificação LLDAS (como ausência de novas características de atividade da doença, ausência de atividade nos principais sistemas orgânicos, PGA ≤ 1 e dose de prednisona ≤ 7,5 mg). A inclusão desses critérios poderia ampliar ainda mais a diferenciação entre os estados de saúde, resultando em uma maior diferença na utilidade de pacientes em LLDAS em comparação aos pacientes em não LLDAS.</w:t>
            </w:r>
          </w:p>
          <w:p w14:paraId="2F964280" w14:textId="77777777" w:rsidR="00817793" w:rsidRDefault="002719FC">
            <w:pPr>
              <w:spacing w:before="120" w:after="120" w:line="240" w:lineRule="auto"/>
            </w:pPr>
            <w:r>
              <w:t xml:space="preserve">- </w:t>
            </w:r>
            <w:proofErr w:type="gramStart"/>
            <w:r>
              <w:t>o</w:t>
            </w:r>
            <w:proofErr w:type="gramEnd"/>
            <w:r>
              <w:t xml:space="preserve"> cálculo da </w:t>
            </w:r>
            <w:proofErr w:type="spellStart"/>
            <w:r>
              <w:t>desutilidade</w:t>
            </w:r>
            <w:proofErr w:type="spellEnd"/>
            <w:r>
              <w:t xml:space="preserve"> associada a exacerbações parte de valores de utilidade conforme o grau da exacerbação (leve, </w:t>
            </w:r>
            <w:r>
              <w:lastRenderedPageBreak/>
              <w:t>moderada e grave). O modelo adotou arbitrariamente a média (para valor de base) e mediana (para as utilidades das exacerbações), de um estudo conduzido na população australiana. O proponente não esclareceu os critérios para adoção desses valores.</w:t>
            </w:r>
          </w:p>
          <w:p w14:paraId="2758B68D" w14:textId="282C7258" w:rsidR="00817793" w:rsidRDefault="002719FC">
            <w:pPr>
              <w:spacing w:before="120" w:after="120" w:line="240" w:lineRule="auto"/>
              <w:rPr>
                <w:i/>
                <w:color w:val="FF0000"/>
                <w:highlight w:val="cyan"/>
              </w:rPr>
            </w:pPr>
            <w:r>
              <w:t xml:space="preserve">- </w:t>
            </w:r>
            <w:proofErr w:type="gramStart"/>
            <w:r>
              <w:t>a</w:t>
            </w:r>
            <w:proofErr w:type="gramEnd"/>
            <w:r w:rsidR="00826382">
              <w:t xml:space="preserve"> </w:t>
            </w:r>
            <w:proofErr w:type="spellStart"/>
            <w:r>
              <w:t>desutilidade</w:t>
            </w:r>
            <w:proofErr w:type="spellEnd"/>
            <w:r>
              <w:t xml:space="preserve"> de cada evento adverso foi estimada a partir de estudos distintos. Para alguns desses EA, a referência adotada diz respeito a uma população divergente da PICO, como pacientes diabéticos (para o EA de reação relacionada à infusão), pacientes com câncer de pulmão </w:t>
            </w:r>
            <w:proofErr w:type="gramStart"/>
            <w:r>
              <w:t>não pequenas células avançado</w:t>
            </w:r>
            <w:proofErr w:type="gramEnd"/>
            <w:r w:rsidR="00826382">
              <w:t xml:space="preserve"> </w:t>
            </w:r>
            <w:r>
              <w:t xml:space="preserve">(para o EA dor nas costas), pacientes com câncer renal e de pulmão (para o EA de náusea). Para os EA associados ao uso de </w:t>
            </w:r>
            <w:proofErr w:type="spellStart"/>
            <w:r>
              <w:t>corticosteróides</w:t>
            </w:r>
            <w:proofErr w:type="spellEnd"/>
            <w:r>
              <w:t xml:space="preserve">, destacamos a adoção, como premissa, da mesma </w:t>
            </w:r>
            <w:proofErr w:type="spellStart"/>
            <w:r>
              <w:t>desutilidade</w:t>
            </w:r>
            <w:proofErr w:type="spellEnd"/>
            <w:r>
              <w:t xml:space="preserve"> da pneumonia para os eventos de infecção fúngica e tuberculose. Além disso, há um erro no cálculo das </w:t>
            </w:r>
            <w:proofErr w:type="spellStart"/>
            <w:r>
              <w:t>desutilidades</w:t>
            </w:r>
            <w:proofErr w:type="spellEnd"/>
            <w:r>
              <w:t xml:space="preserve"> por EA em ambos os braços, com redundância do cálculo por ciclo, e a correção desse erro leva a um aumento da RCUI.</w:t>
            </w:r>
          </w:p>
        </w:tc>
      </w:tr>
      <w:tr w:rsidR="00817793" w14:paraId="0B789284" w14:textId="77777777">
        <w:trPr>
          <w:trHeight w:val="454"/>
          <w:jc w:val="center"/>
        </w:trPr>
        <w:tc>
          <w:tcPr>
            <w:tcW w:w="2171" w:type="dxa"/>
            <w:shd w:val="clear" w:color="auto" w:fill="auto"/>
          </w:tcPr>
          <w:p w14:paraId="7F5624CD" w14:textId="77777777" w:rsidR="00817793" w:rsidRDefault="002719FC">
            <w:pPr>
              <w:spacing w:before="120" w:after="120" w:line="240" w:lineRule="auto"/>
              <w:jc w:val="center"/>
              <w:rPr>
                <w:b/>
              </w:rPr>
            </w:pPr>
            <w:r>
              <w:rPr>
                <w:b/>
                <w:color w:val="000000"/>
                <w:highlight w:val="white"/>
              </w:rPr>
              <w:t>Estimativa de recursos e custos</w:t>
            </w:r>
          </w:p>
        </w:tc>
        <w:tc>
          <w:tcPr>
            <w:tcW w:w="2493" w:type="dxa"/>
            <w:shd w:val="clear" w:color="auto" w:fill="auto"/>
          </w:tcPr>
          <w:p w14:paraId="70DE4C43" w14:textId="77777777" w:rsidR="00817793" w:rsidRDefault="002719FC">
            <w:pPr>
              <w:spacing w:before="120" w:after="120" w:line="240" w:lineRule="auto"/>
            </w:pPr>
            <w:r>
              <w:t xml:space="preserve">- Custos com medicamentos: foram incluídos os custos relacionados ao uso de </w:t>
            </w:r>
            <w:proofErr w:type="spellStart"/>
            <w:r>
              <w:t>anifrolumabe</w:t>
            </w:r>
            <w:proofErr w:type="spellEnd"/>
            <w:r>
              <w:t>, corticosteroides, hidroxicloroquina, imunossupressores (</w:t>
            </w:r>
            <w:proofErr w:type="spellStart"/>
            <w:r>
              <w:t>micofenolato</w:t>
            </w:r>
            <w:proofErr w:type="spellEnd"/>
            <w:r>
              <w:t xml:space="preserve">, metotrexato, ciclofosfamida e </w:t>
            </w:r>
            <w:proofErr w:type="spellStart"/>
            <w:r>
              <w:t>azatioprina</w:t>
            </w:r>
            <w:proofErr w:type="spellEnd"/>
            <w:r>
              <w:t xml:space="preserve">). Adotou-se a premissa de que todos os pacientes estariam em uso de hidroxicloroquina e de um imunossupressor, sendo distribuídos igualmente </w:t>
            </w:r>
            <w:r>
              <w:lastRenderedPageBreak/>
              <w:t xml:space="preserve">entre os imunossupressores avaliados (25% dos pacientes utilizando </w:t>
            </w:r>
            <w:proofErr w:type="spellStart"/>
            <w:r>
              <w:t>micofenolato</w:t>
            </w:r>
            <w:proofErr w:type="spellEnd"/>
            <w:r>
              <w:t xml:space="preserve">, metotrexato, ciclofosfamida e </w:t>
            </w:r>
            <w:proofErr w:type="spellStart"/>
            <w:r>
              <w:t>azatioprina</w:t>
            </w:r>
            <w:proofErr w:type="spellEnd"/>
            <w:r>
              <w:t>). Considerou-se que pacientes em LLDAS utilizam a dose mínima recomendada do imunossupressor, enquanto pacientes em Não LLDAS utilizam a dose média entre a mínima e a máxima.</w:t>
            </w:r>
          </w:p>
          <w:p w14:paraId="624F5E85" w14:textId="77777777" w:rsidR="00817793" w:rsidRDefault="002719FC">
            <w:pPr>
              <w:spacing w:before="120" w:after="120" w:line="240" w:lineRule="auto"/>
            </w:pPr>
            <w:r>
              <w:t xml:space="preserve">Os custos dos medicamentos foram baseados nos valores de referência da tabela CMED, considerando-se os Preços de Fábrica (PF) acrescidos de 18% de ICMS. O custo da administração do </w:t>
            </w:r>
            <w:proofErr w:type="spellStart"/>
            <w:r>
              <w:t>anifrolumabe</w:t>
            </w:r>
            <w:proofErr w:type="spellEnd"/>
            <w:r>
              <w:t xml:space="preserve"> foi obtido do Painel de Dados do Padrão para Troca de Informação de Saúde Suplementar (D-TISS). </w:t>
            </w:r>
          </w:p>
          <w:p w14:paraId="2FE1A366" w14:textId="77777777" w:rsidR="00817793" w:rsidRDefault="002719FC">
            <w:pPr>
              <w:spacing w:before="120" w:after="120" w:line="240" w:lineRule="auto"/>
            </w:pPr>
            <w:r>
              <w:t>- Custos com consultas e exames</w:t>
            </w:r>
          </w:p>
          <w:p w14:paraId="0EDDBA79" w14:textId="0D299E3A" w:rsidR="00817793" w:rsidRDefault="002719FC">
            <w:pPr>
              <w:spacing w:before="120" w:after="120" w:line="240" w:lineRule="auto"/>
            </w:pPr>
            <w:r>
              <w:t xml:space="preserve">conforme o Protocolo Clínico e Diretrizes Terapêuticas para Lúpus Eritematoso Sistêmico, foram consideradas consultas e exames de acompanhamento para pacientes em LLDAS (a cada 6 meses) </w:t>
            </w:r>
            <w:proofErr w:type="gramStart"/>
            <w:r>
              <w:t>e</w:t>
            </w:r>
            <w:r w:rsidR="00962048">
              <w:t xml:space="preserve"> </w:t>
            </w:r>
            <w:r>
              <w:t>Não</w:t>
            </w:r>
            <w:proofErr w:type="gramEnd"/>
            <w:r>
              <w:t xml:space="preserve"> LLDAS (a cada 3 meses), uma avaliação oftalmológica anual para </w:t>
            </w:r>
            <w:r>
              <w:lastRenderedPageBreak/>
              <w:t xml:space="preserve">todos os pacientes, e exames adicionais no acompanhamento de pacientes em uso de corticosteroides. Os custos unitários foram obtidos através do Painel D-TISS de 2023, exceto para os exames CH50, C3, C4 e </w:t>
            </w:r>
            <w:proofErr w:type="spellStart"/>
            <w:r>
              <w:t>anti-DNA</w:t>
            </w:r>
            <w:proofErr w:type="spellEnd"/>
            <w:r>
              <w:t xml:space="preserve"> nativo, cujos valores foram calculados através da Classificação Brasileira Hierarquizada de Procedimentos Médicos (CBHPM) de 2022. </w:t>
            </w:r>
          </w:p>
          <w:p w14:paraId="585F7B48" w14:textId="77777777" w:rsidR="00817793" w:rsidRDefault="002719FC">
            <w:pPr>
              <w:spacing w:before="120" w:after="120" w:line="240" w:lineRule="auto"/>
            </w:pPr>
            <w:r>
              <w:t>- Custos de eventos</w:t>
            </w:r>
          </w:p>
          <w:p w14:paraId="19194ED5" w14:textId="77777777" w:rsidR="00817793" w:rsidRDefault="002719FC">
            <w:pPr>
              <w:spacing w:before="120" w:after="120" w:line="240" w:lineRule="auto"/>
            </w:pPr>
            <w:r>
              <w:t xml:space="preserve">foram incluídos os custos de exacerbações, SDI, eventos adversos e óbitos. Para os custos de exacerbações e eventos de SDI (danos orgânicos), foram utilizados dados da ANS (TISS) sobre custos de hospitalizações em pacientes com essas características. No caso das exacerbações, considerou-se como referência os custos de hospitalizações relacionadas aos códigos CID-10 M32 (LES), M32.1 (LES com acometimento orgânico) e M32.9 (LES não especificado). Para os óbitos, utilizou-se o custo médio de hospitalizações associadas ao óbito, por qualquer causa. Para o cálculo de custos de eventos adversos, foram </w:t>
            </w:r>
            <w:r>
              <w:lastRenderedPageBreak/>
              <w:t xml:space="preserve">inclusos custos com consultas, medicamentos e hospitalizações relacionados a eventos adversos do tratamento com </w:t>
            </w:r>
            <w:proofErr w:type="spellStart"/>
            <w:r>
              <w:t>anifrolumabe</w:t>
            </w:r>
            <w:proofErr w:type="spellEnd"/>
            <w:r>
              <w:t>, tratamento padrão e uso de corticosteroides.</w:t>
            </w:r>
          </w:p>
        </w:tc>
        <w:tc>
          <w:tcPr>
            <w:tcW w:w="4215" w:type="dxa"/>
          </w:tcPr>
          <w:p w14:paraId="00767320" w14:textId="26F6682B" w:rsidR="00817793" w:rsidRDefault="002719FC">
            <w:pPr>
              <w:spacing w:before="120" w:after="120" w:line="240" w:lineRule="auto"/>
              <w:rPr>
                <w:highlight w:val="white"/>
              </w:rPr>
            </w:pPr>
            <w:r>
              <w:rPr>
                <w:highlight w:val="white"/>
              </w:rPr>
              <w:lastRenderedPageBreak/>
              <w:t xml:space="preserve">- Custos com medicamentos: consideramos a abordagem adotada pelo proponente inadequada para o contexto da ANS, ao considerar custo com terapia tripla e outros medicamentos orais para eventos adversos, que não se enquadram na perspectiva da saúde suplementar pois são custos </w:t>
            </w:r>
            <w:r w:rsidRPr="00826382">
              <w:rPr>
                <w:i/>
                <w:iCs/>
                <w:highlight w:val="white"/>
              </w:rPr>
              <w:t xml:space="preserve">out </w:t>
            </w:r>
            <w:proofErr w:type="spellStart"/>
            <w:r w:rsidRPr="00826382">
              <w:rPr>
                <w:i/>
                <w:iCs/>
                <w:highlight w:val="white"/>
              </w:rPr>
              <w:t>of</w:t>
            </w:r>
            <w:proofErr w:type="spellEnd"/>
            <w:r w:rsidRPr="00826382">
              <w:rPr>
                <w:i/>
                <w:iCs/>
                <w:highlight w:val="white"/>
              </w:rPr>
              <w:t xml:space="preserve"> pocket</w:t>
            </w:r>
            <w:r>
              <w:rPr>
                <w:highlight w:val="white"/>
              </w:rPr>
              <w:t xml:space="preserve"> dos pacientes </w:t>
            </w:r>
          </w:p>
          <w:p w14:paraId="3A2243E3" w14:textId="77777777" w:rsidR="00817793" w:rsidRDefault="002719FC">
            <w:pPr>
              <w:spacing w:before="120" w:after="120" w:line="240" w:lineRule="auto"/>
              <w:rPr>
                <w:highlight w:val="white"/>
              </w:rPr>
            </w:pPr>
            <w:r>
              <w:rPr>
                <w:highlight w:val="white"/>
              </w:rPr>
              <w:t xml:space="preserve">- Custos com consultas e exames estão adequados e em consonância com o PCDT de Lúpus </w:t>
            </w:r>
            <w:r>
              <w:t>Eritematoso Sistêmico do Ministério da Saúde.</w:t>
            </w:r>
          </w:p>
          <w:p w14:paraId="6096C893" w14:textId="56070539" w:rsidR="00817793" w:rsidRDefault="002719FC">
            <w:pPr>
              <w:spacing w:before="120" w:after="120" w:line="240" w:lineRule="auto"/>
            </w:pPr>
            <w:r>
              <w:rPr>
                <w:highlight w:val="white"/>
              </w:rPr>
              <w:t xml:space="preserve">- Custos de eventos: os custos com eventos adversos foram estimados a partir da frequência da ocorrência desses eventos, que foi obtida dos estudos MUSE, TULIP-1 e TULIP-2. A população desses estudos é </w:t>
            </w:r>
            <w:r>
              <w:rPr>
                <w:highlight w:val="white"/>
              </w:rPr>
              <w:t xml:space="preserve">divergente daquela de interesse </w:t>
            </w:r>
            <w:proofErr w:type="spellStart"/>
            <w:r>
              <w:rPr>
                <w:highlight w:val="white"/>
              </w:rPr>
              <w:t>na</w:t>
            </w:r>
            <w:proofErr w:type="spellEnd"/>
            <w:r>
              <w:rPr>
                <w:highlight w:val="white"/>
              </w:rPr>
              <w:t xml:space="preserve"> PICO e na DUT, uma vez que não estão em terapia tripla e nem todos estão em uso de </w:t>
            </w:r>
            <w:proofErr w:type="spellStart"/>
            <w:r>
              <w:rPr>
                <w:highlight w:val="white"/>
              </w:rPr>
              <w:t>corticosteróide</w:t>
            </w:r>
            <w:proofErr w:type="spellEnd"/>
            <w:r>
              <w:rPr>
                <w:highlight w:val="white"/>
              </w:rPr>
              <w:t xml:space="preserve"> na dose definida </w:t>
            </w:r>
            <w:r>
              <w:t xml:space="preserve">(prednisona ≥ 7,5 mg ou equivalente). Além disso, trata-se de uma população que apresenta comorbidades no </w:t>
            </w:r>
            <w:r>
              <w:rPr>
                <w:i/>
              </w:rPr>
              <w:t>baseline</w:t>
            </w:r>
            <w:r>
              <w:t>, e não há qualquer discussão sobre a possível relação entre os EA e essas comorbidades, bem como a relação de causalidade entre esses EA e as tecnologias sob investigação.</w:t>
            </w:r>
          </w:p>
          <w:p w14:paraId="66A4C0F7" w14:textId="246A5A8B" w:rsidR="00817793" w:rsidRDefault="002719FC">
            <w:pPr>
              <w:spacing w:before="120" w:after="120" w:line="240" w:lineRule="auto"/>
              <w:rPr>
                <w:highlight w:val="white"/>
              </w:rPr>
            </w:pPr>
            <w:r>
              <w:rPr>
                <w:highlight w:val="white"/>
              </w:rPr>
              <w:t>Os custos com esses EA fo</w:t>
            </w:r>
            <w:r w:rsidR="00962048">
              <w:rPr>
                <w:highlight w:val="white"/>
              </w:rPr>
              <w:t>ram</w:t>
            </w:r>
            <w:r>
              <w:rPr>
                <w:highlight w:val="white"/>
              </w:rPr>
              <w:t xml:space="preserve"> estimado</w:t>
            </w:r>
            <w:r w:rsidR="00962048">
              <w:rPr>
                <w:highlight w:val="white"/>
              </w:rPr>
              <w:t>s</w:t>
            </w:r>
            <w:r>
              <w:rPr>
                <w:highlight w:val="white"/>
              </w:rPr>
              <w:t xml:space="preserve"> considerando uso de medicamentos orais e consultas. Consideramos os valores obtidos superestimados, uma vez que medicamentos orais não são custeados pela ANS, e há uma superestimativa dos números de consultas relacionadas a esses eventos, ao considerar um número estimado de consultas independentes para cada EA. </w:t>
            </w:r>
          </w:p>
          <w:p w14:paraId="4714DFD6" w14:textId="1F203CD2" w:rsidR="00817793" w:rsidRDefault="002719FC">
            <w:pPr>
              <w:spacing w:before="120" w:after="120" w:line="240" w:lineRule="auto"/>
            </w:pPr>
            <w:r>
              <w:t xml:space="preserve">Há falta de transparência e detalhamento sobre os dados de custo de hospitalização de pacientes com lúpus a partir de pesquisa dos códigos CID no D-TISS. A princípio se trata de dados abertos D-TISS, porém métodos de extração e análise não foram apresentados. </w:t>
            </w:r>
            <w:proofErr w:type="gramStart"/>
            <w:r>
              <w:t>O mesmo</w:t>
            </w:r>
            <w:proofErr w:type="gramEnd"/>
            <w:r>
              <w:t xml:space="preserve"> se aplica para os custos com eventos SDI e óbitos.</w:t>
            </w:r>
          </w:p>
          <w:p w14:paraId="7BC1BAF2" w14:textId="77777777" w:rsidR="00817793" w:rsidRDefault="00817793">
            <w:pPr>
              <w:spacing w:before="120" w:after="120" w:line="240" w:lineRule="auto"/>
              <w:jc w:val="center"/>
              <w:rPr>
                <w:highlight w:val="white"/>
              </w:rPr>
            </w:pPr>
          </w:p>
          <w:p w14:paraId="61C988F9" w14:textId="77777777" w:rsidR="00817793" w:rsidRDefault="00817793">
            <w:pPr>
              <w:spacing w:before="120" w:after="120" w:line="240" w:lineRule="auto"/>
              <w:jc w:val="center"/>
              <w:rPr>
                <w:i/>
                <w:color w:val="FF0000"/>
                <w:highlight w:val="white"/>
              </w:rPr>
            </w:pPr>
          </w:p>
          <w:p w14:paraId="3B22BB7D" w14:textId="77777777" w:rsidR="00817793" w:rsidRDefault="00817793">
            <w:pPr>
              <w:spacing w:before="120" w:after="120" w:line="240" w:lineRule="auto"/>
              <w:jc w:val="center"/>
              <w:rPr>
                <w:i/>
                <w:color w:val="FF0000"/>
                <w:highlight w:val="white"/>
              </w:rPr>
            </w:pPr>
          </w:p>
        </w:tc>
      </w:tr>
      <w:tr w:rsidR="00817793" w14:paraId="3A9AEB30" w14:textId="77777777">
        <w:trPr>
          <w:trHeight w:val="454"/>
          <w:jc w:val="center"/>
        </w:trPr>
        <w:tc>
          <w:tcPr>
            <w:tcW w:w="2171" w:type="dxa"/>
            <w:shd w:val="clear" w:color="auto" w:fill="auto"/>
          </w:tcPr>
          <w:p w14:paraId="23E46E00" w14:textId="77777777" w:rsidR="00817793" w:rsidRDefault="002719FC">
            <w:pPr>
              <w:spacing w:before="120" w:after="120" w:line="240" w:lineRule="auto"/>
              <w:jc w:val="center"/>
              <w:rPr>
                <w:b/>
              </w:rPr>
            </w:pPr>
            <w:r>
              <w:rPr>
                <w:b/>
              </w:rPr>
              <w:lastRenderedPageBreak/>
              <w:t>Unidade monetária</w:t>
            </w:r>
          </w:p>
        </w:tc>
        <w:tc>
          <w:tcPr>
            <w:tcW w:w="2493" w:type="dxa"/>
            <w:shd w:val="clear" w:color="auto" w:fill="auto"/>
          </w:tcPr>
          <w:p w14:paraId="4BF91AED" w14:textId="77777777" w:rsidR="00817793" w:rsidRDefault="002719FC">
            <w:pPr>
              <w:spacing w:before="120" w:after="120" w:line="240" w:lineRule="auto"/>
              <w:jc w:val="center"/>
              <w:rPr>
                <w:highlight w:val="yellow"/>
              </w:rPr>
            </w:pPr>
            <w:r>
              <w:t>Valores em reais (R$)</w:t>
            </w:r>
          </w:p>
        </w:tc>
        <w:tc>
          <w:tcPr>
            <w:tcW w:w="4215" w:type="dxa"/>
          </w:tcPr>
          <w:p w14:paraId="22E71726" w14:textId="77777777" w:rsidR="00817793" w:rsidRDefault="002719FC">
            <w:pPr>
              <w:spacing w:before="120" w:after="120" w:line="240" w:lineRule="auto"/>
              <w:jc w:val="center"/>
              <w:rPr>
                <w:highlight w:val="cyan"/>
              </w:rPr>
            </w:pPr>
            <w:r>
              <w:t>Adequado</w:t>
            </w:r>
          </w:p>
        </w:tc>
      </w:tr>
      <w:tr w:rsidR="00817793" w14:paraId="34D5E44F" w14:textId="77777777">
        <w:trPr>
          <w:trHeight w:val="454"/>
          <w:jc w:val="center"/>
        </w:trPr>
        <w:tc>
          <w:tcPr>
            <w:tcW w:w="2171" w:type="dxa"/>
            <w:shd w:val="clear" w:color="auto" w:fill="auto"/>
          </w:tcPr>
          <w:p w14:paraId="3972E7E6" w14:textId="77777777" w:rsidR="00817793" w:rsidRDefault="002719FC">
            <w:pPr>
              <w:spacing w:before="120" w:after="120" w:line="240" w:lineRule="auto"/>
              <w:jc w:val="center"/>
              <w:rPr>
                <w:b/>
              </w:rPr>
            </w:pPr>
            <w:r>
              <w:rPr>
                <w:b/>
              </w:rPr>
              <w:t>Modelagem</w:t>
            </w:r>
          </w:p>
        </w:tc>
        <w:tc>
          <w:tcPr>
            <w:tcW w:w="2493" w:type="dxa"/>
            <w:shd w:val="clear" w:color="auto" w:fill="auto"/>
          </w:tcPr>
          <w:p w14:paraId="62C82D02" w14:textId="77777777" w:rsidR="00817793" w:rsidRDefault="002719FC">
            <w:pPr>
              <w:spacing w:before="120" w:after="120" w:line="240" w:lineRule="auto"/>
            </w:pPr>
            <w:proofErr w:type="spellStart"/>
            <w:r>
              <w:t>Semi-Markov</w:t>
            </w:r>
            <w:proofErr w:type="spellEnd"/>
            <w:r>
              <w:t>. Os estados de saúde foram divididos em “LLDAS”, “Não LLDAS” e “Óbito”</w:t>
            </w:r>
          </w:p>
        </w:tc>
        <w:tc>
          <w:tcPr>
            <w:tcW w:w="4215" w:type="dxa"/>
          </w:tcPr>
          <w:p w14:paraId="778C68DA" w14:textId="77777777" w:rsidR="00817793" w:rsidRDefault="002719FC">
            <w:pPr>
              <w:spacing w:before="120" w:after="120" w:line="240" w:lineRule="auto"/>
              <w:rPr>
                <w:i/>
                <w:color w:val="FF0000"/>
              </w:rPr>
            </w:pPr>
            <w:r>
              <w:t>Modelagem e estados de saúde adequados para simular matematicamente o objeto da análise.</w:t>
            </w:r>
          </w:p>
        </w:tc>
      </w:tr>
      <w:tr w:rsidR="00817793" w14:paraId="1446198F" w14:textId="77777777">
        <w:trPr>
          <w:trHeight w:val="454"/>
          <w:jc w:val="center"/>
        </w:trPr>
        <w:tc>
          <w:tcPr>
            <w:tcW w:w="2171" w:type="dxa"/>
            <w:shd w:val="clear" w:color="auto" w:fill="auto"/>
          </w:tcPr>
          <w:p w14:paraId="4427DA29" w14:textId="77777777" w:rsidR="00817793" w:rsidRDefault="002719FC">
            <w:pPr>
              <w:spacing w:before="120" w:after="120" w:line="240" w:lineRule="auto"/>
              <w:jc w:val="center"/>
              <w:rPr>
                <w:b/>
              </w:rPr>
            </w:pPr>
            <w:r>
              <w:rPr>
                <w:b/>
              </w:rPr>
              <w:t>Pressupostos do modelo</w:t>
            </w:r>
          </w:p>
        </w:tc>
        <w:tc>
          <w:tcPr>
            <w:tcW w:w="2493" w:type="dxa"/>
            <w:shd w:val="clear" w:color="auto" w:fill="auto"/>
          </w:tcPr>
          <w:p w14:paraId="1BF18570" w14:textId="77777777" w:rsidR="00817793" w:rsidRDefault="002719FC">
            <w:pPr>
              <w:spacing w:before="120" w:after="120" w:line="240" w:lineRule="auto"/>
            </w:pPr>
            <w:r>
              <w:t>- Pacientes que não atingem o estado de LLDAS na semana 24 interrompem o tratamento e passam a ter as mesmas probabilidades de transição que os pacientes que não apresentaram resposta na semana 24 no grupo placebo dos estudos TULIP. De maneira similar, alguns pacientes que apresentaram resposta na semana 24 podem descontinuar o tratamento a longo prazo por outros motivos. Nesse grupo, após a descontinuação, foram aplicadas as probabilidades de transição observadas em pacientes que utilizavam placebo e tiveram resposta na semana 24.</w:t>
            </w:r>
          </w:p>
          <w:p w14:paraId="17B246DD" w14:textId="3484876F" w:rsidR="00817793" w:rsidRDefault="002719FC">
            <w:pPr>
              <w:spacing w:before="120" w:after="120" w:line="240" w:lineRule="auto"/>
            </w:pPr>
            <w:r>
              <w:t xml:space="preserve">- As probabilidades de transição foram extraídas </w:t>
            </w:r>
            <w:r>
              <w:lastRenderedPageBreak/>
              <w:t>diretamente dos estudos TULIP-1, TULIP-2 e TULIP-LTE, abrangendo o período de 0 a 208 semanas. Após a semana 208, considerou-se a média das probabilidades de transição observadas no estudo TULIP-LTE (52 a 208 semanas).</w:t>
            </w:r>
          </w:p>
        </w:tc>
        <w:tc>
          <w:tcPr>
            <w:tcW w:w="4215" w:type="dxa"/>
          </w:tcPr>
          <w:p w14:paraId="27E778CE" w14:textId="10A7CD2C" w:rsidR="00817793" w:rsidRDefault="002719FC">
            <w:pPr>
              <w:spacing w:before="120" w:after="120" w:line="240" w:lineRule="auto"/>
            </w:pPr>
            <w:r>
              <w:lastRenderedPageBreak/>
              <w:t>Consideramos adequada a abordagem de interrupção do tratamento caso o desfecho desejado não seja atingido, em consonância com a proposta da DUT.</w:t>
            </w:r>
          </w:p>
          <w:p w14:paraId="1EAFDA96" w14:textId="77777777" w:rsidR="00817793" w:rsidRDefault="002719FC">
            <w:pPr>
              <w:spacing w:before="120" w:after="120" w:line="240" w:lineRule="auto"/>
              <w:rPr>
                <w:highlight w:val="white"/>
              </w:rPr>
            </w:pPr>
            <w:r>
              <w:rPr>
                <w:highlight w:val="white"/>
              </w:rPr>
              <w:t xml:space="preserve">As probabilidades de transição foram extrapoladas a partir da semana 208 para um horizonte temporal de 40 anos. Essa extrapolação se deu adotando-se um valor constante da semana 208 em diante, referente a </w:t>
            </w:r>
            <w:r>
              <w:t>média das probabilidades de transição observadas no estudo TULIP-LTE (52 a 208 semanas). Não foram apresentadas justificativas ou discussão sobre os impactos dessa premissa no modelo.</w:t>
            </w:r>
          </w:p>
          <w:p w14:paraId="6BF89DA3" w14:textId="77777777" w:rsidR="00817793" w:rsidRDefault="00817793">
            <w:pPr>
              <w:spacing w:before="120" w:after="120" w:line="240" w:lineRule="auto"/>
            </w:pPr>
          </w:p>
          <w:p w14:paraId="5C3E0E74" w14:textId="77777777" w:rsidR="00817793" w:rsidRDefault="00817793">
            <w:pPr>
              <w:spacing w:before="120" w:after="120" w:line="240" w:lineRule="auto"/>
              <w:rPr>
                <w:i/>
                <w:color w:val="FF0000"/>
              </w:rPr>
            </w:pPr>
          </w:p>
        </w:tc>
      </w:tr>
      <w:tr w:rsidR="00817793" w14:paraId="77DFB703" w14:textId="77777777">
        <w:trPr>
          <w:trHeight w:val="454"/>
          <w:jc w:val="center"/>
        </w:trPr>
        <w:tc>
          <w:tcPr>
            <w:tcW w:w="2171" w:type="dxa"/>
            <w:shd w:val="clear" w:color="auto" w:fill="auto"/>
          </w:tcPr>
          <w:p w14:paraId="5B2B4E3E" w14:textId="77777777" w:rsidR="00817793" w:rsidRDefault="002719FC">
            <w:pPr>
              <w:spacing w:before="120" w:after="120" w:line="240" w:lineRule="auto"/>
              <w:jc w:val="center"/>
              <w:rPr>
                <w:b/>
              </w:rPr>
            </w:pPr>
            <w:r>
              <w:rPr>
                <w:b/>
              </w:rPr>
              <w:t>Métodos analíticos</w:t>
            </w:r>
          </w:p>
        </w:tc>
        <w:tc>
          <w:tcPr>
            <w:tcW w:w="2493" w:type="dxa"/>
            <w:shd w:val="clear" w:color="auto" w:fill="auto"/>
          </w:tcPr>
          <w:p w14:paraId="5200BB67" w14:textId="77777777" w:rsidR="00817793" w:rsidRDefault="002719FC">
            <w:pPr>
              <w:spacing w:before="120" w:after="120" w:line="240" w:lineRule="auto"/>
              <w:rPr>
                <w:highlight w:val="white"/>
              </w:rPr>
            </w:pPr>
            <w:r>
              <w:rPr>
                <w:highlight w:val="white"/>
              </w:rPr>
              <w:t>Foi calculada a razão de custo-utilidade incremental (RCUI), além de análise de sensibilidade determinística e probabilística.</w:t>
            </w:r>
          </w:p>
          <w:p w14:paraId="692BB141" w14:textId="77777777" w:rsidR="00817793" w:rsidRDefault="002719FC">
            <w:pPr>
              <w:spacing w:before="120" w:after="120" w:line="240" w:lineRule="auto"/>
              <w:rPr>
                <w:highlight w:val="white"/>
              </w:rPr>
            </w:pPr>
            <w:r>
              <w:rPr>
                <w:highlight w:val="white"/>
              </w:rPr>
              <w:t>Na análise de sensibilidade probabilística (ASP), foram realizadas 1.000 simulações de Monte Carlo, cada uma variando os parâmetros de acordo com o seu erro padrão e sua distribuição. A variação de cada parâmetro foi obtida através do intervalo de confiança dos estudos de origem. Quando o erro padrão era indisponível ou no caso de estimativas de custo, considerou-se uma variação de ±25% do valor central da estimativa, seguindo as recomendações da Diretriz Metodológica de Avaliação Econômica do Ministério da Saúde.</w:t>
            </w:r>
          </w:p>
          <w:p w14:paraId="49BFB4ED" w14:textId="77777777" w:rsidR="00817793" w:rsidRDefault="002719FC">
            <w:pPr>
              <w:spacing w:before="120" w:after="120" w:line="240" w:lineRule="auto"/>
              <w:rPr>
                <w:highlight w:val="white"/>
              </w:rPr>
            </w:pPr>
            <w:r>
              <w:rPr>
                <w:highlight w:val="white"/>
              </w:rPr>
              <w:lastRenderedPageBreak/>
              <w:t>Na análise de sensibilidade determinística (ASD), cada parâmetro utilizado no modelo foi modificado individualmente, observando-se os efeitos desta modificação na RCEI e RCUI. Para a variação de custos ou parâmetros com intervalo de confiança desconhecido, considerou-se uma redução ou aumento de 25% na estimativa central.</w:t>
            </w:r>
          </w:p>
          <w:p w14:paraId="64F6BD2D" w14:textId="77777777" w:rsidR="00817793" w:rsidRDefault="002719FC">
            <w:pPr>
              <w:spacing w:before="120" w:after="120" w:line="240" w:lineRule="auto"/>
              <w:rPr>
                <w:highlight w:val="white"/>
              </w:rPr>
            </w:pPr>
            <w:r>
              <w:rPr>
                <w:highlight w:val="white"/>
              </w:rPr>
              <w:t xml:space="preserve">É descrito, na caracterização do modelo, a condução das seguintes análises de cenário: incorporação em pacientes com SLEDAI ≥ 6; sem regras de descontinuação (por intenção de tratar); sem regras de descontinuação (por intenção de tratar) em pacientes com SLEDAI ≥ 6; sem incluir custo de outros medicamentos orais para o tratamento de LES. </w:t>
            </w:r>
          </w:p>
        </w:tc>
        <w:tc>
          <w:tcPr>
            <w:tcW w:w="4215" w:type="dxa"/>
          </w:tcPr>
          <w:p w14:paraId="488F3015" w14:textId="77777777" w:rsidR="00817793" w:rsidRDefault="002719FC">
            <w:pPr>
              <w:spacing w:before="120" w:after="120" w:line="240" w:lineRule="auto"/>
            </w:pPr>
            <w:r>
              <w:lastRenderedPageBreak/>
              <w:t>Apropriado: Sim. Foram aplicadas correções de meio ciclo. Todos os parâmetros relevantes foram considerados nas análises de sensibilidade.</w:t>
            </w:r>
          </w:p>
          <w:p w14:paraId="368CEEFD" w14:textId="77777777" w:rsidR="00817793" w:rsidRDefault="002719FC">
            <w:pPr>
              <w:spacing w:before="120" w:after="120" w:line="240" w:lineRule="auto"/>
            </w:pPr>
            <w:r>
              <w:t>A metodologia para a condução das análises de cenários não foi descrita no dossiê.</w:t>
            </w:r>
          </w:p>
        </w:tc>
      </w:tr>
      <w:tr w:rsidR="00817793" w14:paraId="4B4BD4B0" w14:textId="77777777">
        <w:trPr>
          <w:trHeight w:val="454"/>
          <w:jc w:val="center"/>
        </w:trPr>
        <w:tc>
          <w:tcPr>
            <w:tcW w:w="2171" w:type="dxa"/>
            <w:shd w:val="clear" w:color="auto" w:fill="auto"/>
          </w:tcPr>
          <w:p w14:paraId="4C5FBBEA" w14:textId="77777777" w:rsidR="00817793" w:rsidRDefault="002719FC">
            <w:pPr>
              <w:spacing w:before="120" w:after="120" w:line="240" w:lineRule="auto"/>
              <w:jc w:val="center"/>
              <w:rPr>
                <w:b/>
              </w:rPr>
            </w:pPr>
            <w:r>
              <w:rPr>
                <w:b/>
              </w:rPr>
              <w:t>Planilha (transparência e reprodutibilidade)</w:t>
            </w:r>
          </w:p>
        </w:tc>
        <w:tc>
          <w:tcPr>
            <w:tcW w:w="2493" w:type="dxa"/>
            <w:shd w:val="clear" w:color="auto" w:fill="auto"/>
          </w:tcPr>
          <w:p w14:paraId="68EB3761" w14:textId="77777777" w:rsidR="00817793" w:rsidRDefault="002719FC">
            <w:pPr>
              <w:spacing w:before="120" w:after="120" w:line="240" w:lineRule="auto"/>
              <w:jc w:val="center"/>
            </w:pPr>
            <w:r>
              <w:t xml:space="preserve">Apresenta planilha com o modelo em </w:t>
            </w:r>
            <w:proofErr w:type="spellStart"/>
            <w:r>
              <w:t>excel</w:t>
            </w:r>
            <w:proofErr w:type="spellEnd"/>
            <w:r>
              <w:t>.</w:t>
            </w:r>
          </w:p>
        </w:tc>
        <w:tc>
          <w:tcPr>
            <w:tcW w:w="4215" w:type="dxa"/>
          </w:tcPr>
          <w:p w14:paraId="78977E18" w14:textId="77777777" w:rsidR="00817793" w:rsidRDefault="002719FC">
            <w:pPr>
              <w:spacing w:before="120" w:after="120" w:line="240" w:lineRule="auto"/>
            </w:pPr>
            <w:r>
              <w:t>A planilha apresentou erro no arquivo ao abrir, não sendo executados os cálculos da RCUI em razão de falta da definição do nome da célula C33 na aba parâmetros. Ao nomear a referida célula, o modelo funcionou adequadamente.</w:t>
            </w:r>
          </w:p>
          <w:p w14:paraId="08AF0991" w14:textId="77777777" w:rsidR="00817793" w:rsidRDefault="002719FC">
            <w:pPr>
              <w:spacing w:before="120" w:after="120" w:line="240" w:lineRule="auto"/>
            </w:pPr>
            <w:r>
              <w:t xml:space="preserve">Apresenta ainda erros no cálculo da </w:t>
            </w:r>
            <w:proofErr w:type="spellStart"/>
            <w:r>
              <w:t>desutilidade</w:t>
            </w:r>
            <w:proofErr w:type="spellEnd"/>
            <w:r>
              <w:t xml:space="preserve">, que impactam nos resultados </w:t>
            </w:r>
            <w:r>
              <w:lastRenderedPageBreak/>
              <w:t xml:space="preserve">da análise. Na coluna BX das abas dos traços de Markov do </w:t>
            </w:r>
            <w:proofErr w:type="spellStart"/>
            <w:r>
              <w:t>Anifrolumabe</w:t>
            </w:r>
            <w:proofErr w:type="spellEnd"/>
            <w:r>
              <w:t xml:space="preserve"> e do Tratamento Padrão, a fórmula de BX13 deveria ser propagada para as linhas BX14 em diante atualizando o número da linha, o que não está acontecendo. Não foram identificadas qualquer justificativa para isso.</w:t>
            </w:r>
          </w:p>
          <w:p w14:paraId="0030D6DD" w14:textId="77777777" w:rsidR="00817793" w:rsidRDefault="002719FC">
            <w:pPr>
              <w:spacing w:before="120" w:after="120" w:line="240" w:lineRule="auto"/>
              <w:rPr>
                <w:highlight w:val="yellow"/>
              </w:rPr>
            </w:pPr>
            <w:r>
              <w:t xml:space="preserve">Há um erro no cálculo das </w:t>
            </w:r>
            <w:proofErr w:type="spellStart"/>
            <w:r>
              <w:t>desutilidades</w:t>
            </w:r>
            <w:proofErr w:type="spellEnd"/>
            <w:r>
              <w:t xml:space="preserve"> por EA em ambos os braços, com redundância do cálculo por ciclo.</w:t>
            </w:r>
          </w:p>
          <w:p w14:paraId="0134BD3E" w14:textId="77777777" w:rsidR="00817793" w:rsidRDefault="002719FC">
            <w:pPr>
              <w:spacing w:before="120" w:after="120" w:line="240" w:lineRule="auto"/>
            </w:pPr>
            <w:r>
              <w:t>O botão e a macro para a ASD não funcionou; a ASP funcionou corretamente.</w:t>
            </w:r>
          </w:p>
        </w:tc>
      </w:tr>
    </w:tbl>
    <w:p w14:paraId="66A1FAB9" w14:textId="77777777" w:rsidR="00817793" w:rsidRDefault="00817793">
      <w:pPr>
        <w:spacing w:before="120" w:after="120" w:line="240" w:lineRule="auto"/>
        <w:jc w:val="left"/>
        <w:rPr>
          <w:i/>
          <w:sz w:val="20"/>
          <w:szCs w:val="20"/>
        </w:rPr>
      </w:pPr>
    </w:p>
    <w:p w14:paraId="76BB753C" w14:textId="77777777" w:rsidR="00817793" w:rsidRDefault="00817793">
      <w:pPr>
        <w:rPr>
          <w:smallCaps/>
          <w:highlight w:val="cyan"/>
        </w:rPr>
      </w:pPr>
    </w:p>
    <w:tbl>
      <w:tblPr>
        <w:tblStyle w:val="aff2"/>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03710EE" w14:textId="77777777">
        <w:trPr>
          <w:trHeight w:val="416"/>
        </w:trPr>
        <w:tc>
          <w:tcPr>
            <w:tcW w:w="9072" w:type="dxa"/>
            <w:shd w:val="clear" w:color="auto" w:fill="D9E2F3"/>
            <w:vAlign w:val="center"/>
          </w:tcPr>
          <w:p w14:paraId="794BDFA2" w14:textId="77777777" w:rsidR="00817793" w:rsidRDefault="002719FC">
            <w:pPr>
              <w:spacing w:before="120" w:after="120" w:line="240" w:lineRule="auto"/>
              <w:jc w:val="center"/>
              <w:rPr>
                <w:b/>
              </w:rPr>
            </w:pPr>
            <w:r>
              <w:rPr>
                <w:b/>
              </w:rPr>
              <w:t>Comentários adicionais sobre os métodos da avaliação econômica apresentada pelo proponente</w:t>
            </w:r>
          </w:p>
        </w:tc>
      </w:tr>
      <w:tr w:rsidR="00817793" w14:paraId="736E5CF3" w14:textId="77777777">
        <w:trPr>
          <w:trHeight w:val="750"/>
        </w:trPr>
        <w:tc>
          <w:tcPr>
            <w:tcW w:w="9072" w:type="dxa"/>
            <w:vAlign w:val="center"/>
          </w:tcPr>
          <w:p w14:paraId="1D815F08" w14:textId="77777777" w:rsidR="00817793" w:rsidRDefault="002719FC">
            <w:pPr>
              <w:spacing w:before="120" w:after="120" w:line="240" w:lineRule="auto"/>
            </w:pPr>
            <w:r>
              <w:t xml:space="preserve">A análise é baseada em evidência indireta, pois a população dos estudos empregados não corresponde à de interesse </w:t>
            </w:r>
            <w:proofErr w:type="spellStart"/>
            <w:r>
              <w:t>na</w:t>
            </w:r>
            <w:proofErr w:type="spellEnd"/>
            <w:r>
              <w:t xml:space="preserve"> PICO e DUT, apresentando divergências quanto ao uso de terapia tripla e de corticosteroides. </w:t>
            </w:r>
          </w:p>
          <w:p w14:paraId="253DD48F" w14:textId="5B4C70E8" w:rsidR="00817793" w:rsidRDefault="002719FC">
            <w:pPr>
              <w:spacing w:before="120" w:after="120" w:line="240" w:lineRule="auto"/>
            </w:pPr>
            <w:r>
              <w:t>Quanto ao comparador, ciclofosfamida não deve ser empregada como imunossupressor na população-alvo, uma vez que é indicada para pacientes com LES que apresentam manifestações renais ou neuropsiquiátricas.</w:t>
            </w:r>
          </w:p>
          <w:p w14:paraId="42BFA585" w14:textId="77777777" w:rsidR="00817793" w:rsidRDefault="002719FC">
            <w:pPr>
              <w:spacing w:before="120" w:after="120" w:line="240" w:lineRule="auto"/>
            </w:pPr>
            <w:r>
              <w:t xml:space="preserve">Há incerteza quanto ao parâmetro central do modelo, que é o alcance de LLDAS. </w:t>
            </w:r>
          </w:p>
          <w:p w14:paraId="3618291F" w14:textId="77777777" w:rsidR="00817793" w:rsidRDefault="002719FC">
            <w:pPr>
              <w:spacing w:before="120" w:after="120" w:line="240" w:lineRule="auto"/>
            </w:pPr>
            <w:r>
              <w:t xml:space="preserve">As complicações com o uso de corticosteroides foram estimadas a partir de um estudo com fragilidades, onde a maioria dos pacientes têm LES leve, divergindo da PICO, além de empregar no modelo apenas alguns eventos adversos descritos no estudo, de maneira arbitrária. </w:t>
            </w:r>
          </w:p>
          <w:p w14:paraId="746395B6" w14:textId="77777777" w:rsidR="00817793" w:rsidRDefault="002719FC">
            <w:pPr>
              <w:spacing w:before="120" w:after="120" w:line="240" w:lineRule="auto"/>
            </w:pPr>
            <w:r>
              <w:t xml:space="preserve">Os dados de utilidade foram obtidos de um estudo que não considerou todos os critérios do LLDAS, o que poderia impactar a diferenciação entre os estados de saúde. </w:t>
            </w:r>
          </w:p>
          <w:p w14:paraId="54FCD00E" w14:textId="77777777" w:rsidR="00817793" w:rsidRDefault="002719FC">
            <w:pPr>
              <w:spacing w:before="120" w:after="120" w:line="240" w:lineRule="auto"/>
            </w:pPr>
            <w:r>
              <w:t xml:space="preserve">O cálculo da </w:t>
            </w:r>
            <w:proofErr w:type="spellStart"/>
            <w:r>
              <w:t>desutilidade</w:t>
            </w:r>
            <w:proofErr w:type="spellEnd"/>
            <w:r>
              <w:t xml:space="preserve"> por exacerbações adotou arbitrariamente médias e medianas de um estudo australiano, sem justificativa. </w:t>
            </w:r>
          </w:p>
          <w:p w14:paraId="257001A4" w14:textId="77777777" w:rsidR="00817793" w:rsidRDefault="002719FC">
            <w:pPr>
              <w:spacing w:before="120" w:after="120" w:line="240" w:lineRule="auto"/>
            </w:pPr>
            <w:r>
              <w:t xml:space="preserve">A </w:t>
            </w:r>
            <w:proofErr w:type="spellStart"/>
            <w:r>
              <w:t>desutilidade</w:t>
            </w:r>
            <w:proofErr w:type="spellEnd"/>
            <w:r>
              <w:t xml:space="preserve"> dos eventos adversos foi baseada em estudos de populações diferentes da PICO, e houve premissas questionáveis. </w:t>
            </w:r>
          </w:p>
          <w:p w14:paraId="7FB403CC" w14:textId="77777777" w:rsidR="00817793" w:rsidRDefault="002719FC">
            <w:pPr>
              <w:spacing w:before="120" w:after="120" w:line="240" w:lineRule="auto"/>
            </w:pPr>
            <w:r>
              <w:t xml:space="preserve">Os custos com medicamentos foram considerados inadequados para a perspectiva da saúde suplementar, pois incluem os medicamentos orais que não são custeados pela ANS: </w:t>
            </w:r>
            <w:r>
              <w:rPr>
                <w:highlight w:val="white"/>
              </w:rPr>
              <w:t xml:space="preserve">prednisona, hidroxicloroquina, </w:t>
            </w:r>
            <w:proofErr w:type="spellStart"/>
            <w:r>
              <w:rPr>
                <w:highlight w:val="white"/>
              </w:rPr>
              <w:t>micofenolato</w:t>
            </w:r>
            <w:proofErr w:type="spellEnd"/>
            <w:r>
              <w:rPr>
                <w:highlight w:val="white"/>
              </w:rPr>
              <w:t xml:space="preserve">, metotrexato, ciclofosfamida e </w:t>
            </w:r>
            <w:proofErr w:type="spellStart"/>
            <w:r>
              <w:rPr>
                <w:highlight w:val="white"/>
              </w:rPr>
              <w:t>azatioprina</w:t>
            </w:r>
            <w:proofErr w:type="spellEnd"/>
            <w:r>
              <w:t>.  A ciclofosfamida, inclusive, não é indicada para a população-alvo, conforme mencionado anteriormente.</w:t>
            </w:r>
          </w:p>
          <w:p w14:paraId="20F96960" w14:textId="77777777" w:rsidR="00817793" w:rsidRDefault="002719FC">
            <w:pPr>
              <w:spacing w:before="120" w:after="120" w:line="240" w:lineRule="auto"/>
            </w:pPr>
            <w:r>
              <w:lastRenderedPageBreak/>
              <w:t xml:space="preserve">Os custos de eventos adversos foram estimados com base em estudos cuja população diverge da PICO e DUT, sem considerar comorbidades pré-existentes ou a causalidade dos eventos. Além disso, os valores foram superestimados ao incluir medicamentos orais e consultas excessivas. </w:t>
            </w:r>
          </w:p>
          <w:p w14:paraId="4A90E8F8" w14:textId="77777777" w:rsidR="00817793" w:rsidRDefault="002719FC">
            <w:pPr>
              <w:spacing w:before="120" w:after="120" w:line="240" w:lineRule="auto"/>
            </w:pPr>
            <w:r>
              <w:t xml:space="preserve">Há falta de transparência na extração e análise dos custos de hospitalização, eventos SDI e óbitos a partir do D-TISS. </w:t>
            </w:r>
          </w:p>
          <w:p w14:paraId="4698FD19" w14:textId="77777777" w:rsidR="00817793" w:rsidRDefault="002719FC">
            <w:pPr>
              <w:spacing w:before="120" w:after="120" w:line="240" w:lineRule="auto"/>
            </w:pPr>
            <w:r>
              <w:t xml:space="preserve">Não foi apresentada justificativa ou discussão sobre o impacto da premissa adotada na extrapolação da probabilidade de transição da semana 208 para o horizonte de 40 anos. </w:t>
            </w:r>
          </w:p>
          <w:p w14:paraId="381E36ED" w14:textId="77777777" w:rsidR="00817793" w:rsidRDefault="002719FC">
            <w:pPr>
              <w:spacing w:before="120" w:after="120" w:line="240" w:lineRule="auto"/>
            </w:pPr>
            <w:r>
              <w:t xml:space="preserve">A planilha apresentou erro ao abrir, impedindo os cálculos da RCUI devido à falta de definição do nome da célula C33. Após a correção, o modelo funcionou corretamente. </w:t>
            </w:r>
          </w:p>
          <w:p w14:paraId="469E7E5B" w14:textId="77777777" w:rsidR="00817793" w:rsidRDefault="002719FC">
            <w:pPr>
              <w:spacing w:before="120" w:after="120" w:line="240" w:lineRule="auto"/>
              <w:rPr>
                <w:i/>
                <w:color w:val="FF0000"/>
              </w:rPr>
            </w:pPr>
            <w:r>
              <w:t xml:space="preserve">Também houve erros no cálculo da </w:t>
            </w:r>
            <w:proofErr w:type="spellStart"/>
            <w:r>
              <w:t>desutilidade</w:t>
            </w:r>
            <w:proofErr w:type="spellEnd"/>
            <w:r>
              <w:t xml:space="preserve"> nos traçados de Markov, e redundância no cálculo das </w:t>
            </w:r>
            <w:proofErr w:type="spellStart"/>
            <w:r>
              <w:t>desutilidades</w:t>
            </w:r>
            <w:proofErr w:type="spellEnd"/>
            <w:r>
              <w:t xml:space="preserve"> por eventos adversos em ambos os braços. O botão e a macro para a ASD não funcionaram.</w:t>
            </w:r>
            <w:r>
              <w:rPr>
                <w:i/>
                <w:color w:val="FF0000"/>
              </w:rPr>
              <w:t xml:space="preserve"> </w:t>
            </w:r>
          </w:p>
        </w:tc>
      </w:tr>
    </w:tbl>
    <w:p w14:paraId="513DA1E0" w14:textId="77777777" w:rsidR="00817793" w:rsidRDefault="00817793">
      <w:pPr>
        <w:rPr>
          <w:smallCaps/>
          <w:highlight w:val="cyan"/>
        </w:rPr>
      </w:pPr>
    </w:p>
    <w:p w14:paraId="6F78976A" w14:textId="77777777" w:rsidR="00817793" w:rsidRDefault="002719FC">
      <w:pPr>
        <w:pStyle w:val="Ttulo2"/>
      </w:pPr>
      <w:bookmarkStart w:id="51" w:name="_1pxezwc" w:colFirst="0" w:colLast="0"/>
      <w:bookmarkEnd w:id="51"/>
      <w:r>
        <w:t xml:space="preserve">6.2 Resultados </w:t>
      </w:r>
    </w:p>
    <w:p w14:paraId="7711710A" w14:textId="77777777" w:rsidR="00817793" w:rsidRDefault="002719FC">
      <w:pPr>
        <w:pStyle w:val="Ttulo4"/>
      </w:pPr>
      <w:bookmarkStart w:id="52" w:name="_qnqyhbeo2poi" w:colFirst="0" w:colLast="0"/>
      <w:bookmarkEnd w:id="52"/>
      <w:r>
        <w:rPr>
          <w:b/>
        </w:rPr>
        <w:t>Quadro 22</w:t>
      </w:r>
      <w:r>
        <w:t>. Principais resultados apresentados pelo PROPONENTE</w:t>
      </w:r>
    </w:p>
    <w:tbl>
      <w:tblPr>
        <w:tblStyle w:val="aff3"/>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82"/>
        <w:gridCol w:w="3149"/>
        <w:gridCol w:w="4355"/>
      </w:tblGrid>
      <w:tr w:rsidR="00817793" w14:paraId="718B2E7B" w14:textId="77777777">
        <w:tc>
          <w:tcPr>
            <w:tcW w:w="1782" w:type="dxa"/>
            <w:shd w:val="clear" w:color="auto" w:fill="D9E2F3"/>
          </w:tcPr>
          <w:p w14:paraId="76104B1D" w14:textId="77777777" w:rsidR="00817793" w:rsidRDefault="002719FC">
            <w:pPr>
              <w:spacing w:before="120" w:after="120"/>
              <w:jc w:val="center"/>
            </w:pPr>
            <w:r>
              <w:rPr>
                <w:b/>
              </w:rPr>
              <w:t>Parâmetro</w:t>
            </w:r>
          </w:p>
        </w:tc>
        <w:tc>
          <w:tcPr>
            <w:tcW w:w="3149" w:type="dxa"/>
            <w:shd w:val="clear" w:color="auto" w:fill="D9E2F3"/>
          </w:tcPr>
          <w:p w14:paraId="29BA6174" w14:textId="77777777" w:rsidR="00817793" w:rsidRDefault="002719FC">
            <w:pPr>
              <w:spacing w:before="120" w:after="120"/>
              <w:jc w:val="center"/>
            </w:pPr>
            <w:r>
              <w:rPr>
                <w:b/>
              </w:rPr>
              <w:t>Proponente</w:t>
            </w:r>
          </w:p>
        </w:tc>
        <w:tc>
          <w:tcPr>
            <w:tcW w:w="4355" w:type="dxa"/>
            <w:shd w:val="clear" w:color="auto" w:fill="D9E2F3"/>
          </w:tcPr>
          <w:p w14:paraId="4CF1803D" w14:textId="77777777" w:rsidR="00817793" w:rsidRDefault="002719FC">
            <w:pPr>
              <w:spacing w:before="120" w:after="120"/>
              <w:jc w:val="center"/>
            </w:pPr>
            <w:r>
              <w:rPr>
                <w:b/>
              </w:rPr>
              <w:t>Análise da proposta</w:t>
            </w:r>
          </w:p>
        </w:tc>
      </w:tr>
      <w:tr w:rsidR="00817793" w14:paraId="2220FEC6" w14:textId="77777777">
        <w:tc>
          <w:tcPr>
            <w:tcW w:w="1782" w:type="dxa"/>
          </w:tcPr>
          <w:p w14:paraId="53A28888" w14:textId="77777777" w:rsidR="00817793" w:rsidRDefault="002719FC">
            <w:pPr>
              <w:spacing w:before="120" w:after="120"/>
              <w:jc w:val="center"/>
              <w:rPr>
                <w:b/>
              </w:rPr>
            </w:pPr>
            <w:r>
              <w:rPr>
                <w:b/>
              </w:rPr>
              <w:t>Parâmetros do estudo</w:t>
            </w:r>
          </w:p>
        </w:tc>
        <w:tc>
          <w:tcPr>
            <w:tcW w:w="3149" w:type="dxa"/>
          </w:tcPr>
          <w:p w14:paraId="5A853648" w14:textId="77777777" w:rsidR="00817793" w:rsidRDefault="002719FC">
            <w:pPr>
              <w:spacing w:before="120" w:after="120"/>
            </w:pPr>
            <w:r>
              <w:t>O dossiê apresenta tabelas com os valores, e as respectivas referências, da maioria dos parâmetros do modelo. Para os parâmetros empregados nas análises de sensibilidade, são descritos os intervalos e a distribuição das probabilidades.</w:t>
            </w:r>
          </w:p>
        </w:tc>
        <w:tc>
          <w:tcPr>
            <w:tcW w:w="4355" w:type="dxa"/>
          </w:tcPr>
          <w:p w14:paraId="33DD1B02" w14:textId="77777777" w:rsidR="00817793" w:rsidRDefault="002719FC">
            <w:pPr>
              <w:spacing w:before="120" w:after="120"/>
            </w:pPr>
            <w:r>
              <w:t>Parcialmente adequado. Um dos principais parâmetros do modelo, que é a porcentagem de pacientes que alcançam LLDAS a cada ciclo, não está descrito no dossiê. Esses dados estão disponíveis apenas na planilha, de maneira não consolidada.</w:t>
            </w:r>
          </w:p>
          <w:p w14:paraId="75CAC6F5" w14:textId="77777777" w:rsidR="00817793" w:rsidRDefault="00817793">
            <w:pPr>
              <w:spacing w:before="120" w:after="120"/>
              <w:rPr>
                <w:i/>
                <w:color w:val="FF0000"/>
              </w:rPr>
            </w:pPr>
          </w:p>
        </w:tc>
      </w:tr>
      <w:tr w:rsidR="00817793" w14:paraId="233B8F67" w14:textId="77777777">
        <w:tc>
          <w:tcPr>
            <w:tcW w:w="1782" w:type="dxa"/>
          </w:tcPr>
          <w:p w14:paraId="46FA7DFC" w14:textId="77777777" w:rsidR="00817793" w:rsidRDefault="002719FC">
            <w:pPr>
              <w:spacing w:before="120" w:after="120"/>
              <w:jc w:val="center"/>
              <w:rPr>
                <w:b/>
              </w:rPr>
            </w:pPr>
            <w:r>
              <w:rPr>
                <w:b/>
              </w:rPr>
              <w:t>Estimativa do custo e da efetividade incrementais</w:t>
            </w:r>
          </w:p>
        </w:tc>
        <w:tc>
          <w:tcPr>
            <w:tcW w:w="3149" w:type="dxa"/>
          </w:tcPr>
          <w:p w14:paraId="7414D3AF" w14:textId="77777777" w:rsidR="00817793" w:rsidRDefault="002719FC">
            <w:pPr>
              <w:spacing w:before="120" w:after="120"/>
            </w:pPr>
            <w:r>
              <w:t xml:space="preserve">São apresentadas no dossiê as estimativas de custos e AVAQ incrementais, bem como a RCUI. O uso de </w:t>
            </w:r>
            <w:proofErr w:type="spellStart"/>
            <w:r>
              <w:t>anifrolumabe</w:t>
            </w:r>
            <w:proofErr w:type="spellEnd"/>
            <w:r>
              <w:t xml:space="preserve"> levou a um incremento de 0,174 </w:t>
            </w:r>
            <w:proofErr w:type="spellStart"/>
            <w:r>
              <w:t>AVAQs</w:t>
            </w:r>
            <w:proofErr w:type="spellEnd"/>
            <w:r>
              <w:t xml:space="preserve"> e R$ 45.188,00 em relação ao placebo, com uma RCUI de R$ 259.225,47 por AVAQ ganho</w:t>
            </w:r>
          </w:p>
          <w:p w14:paraId="13E94808" w14:textId="77777777" w:rsidR="00817793" w:rsidRDefault="002719FC">
            <w:pPr>
              <w:spacing w:before="120" w:after="120"/>
            </w:pPr>
            <w:r>
              <w:t>Os dados de AVG são descritos em termos de valores absolutos para cada grupo.</w:t>
            </w:r>
          </w:p>
          <w:p w14:paraId="66060428" w14:textId="77777777" w:rsidR="00817793" w:rsidRDefault="00817793">
            <w:pPr>
              <w:spacing w:before="120" w:after="120"/>
            </w:pPr>
          </w:p>
          <w:p w14:paraId="1D0656FE" w14:textId="77777777" w:rsidR="00817793" w:rsidRDefault="00817793">
            <w:pPr>
              <w:spacing w:before="120" w:after="120"/>
            </w:pPr>
          </w:p>
        </w:tc>
        <w:tc>
          <w:tcPr>
            <w:tcW w:w="4355" w:type="dxa"/>
          </w:tcPr>
          <w:p w14:paraId="3978BD3A" w14:textId="77777777" w:rsidR="00817793" w:rsidRDefault="002719FC">
            <w:pPr>
              <w:spacing w:before="120" w:after="120"/>
            </w:pPr>
            <w:r>
              <w:lastRenderedPageBreak/>
              <w:t>As estimativas de custos e efetividade incremental, bem como a RCUI descritas no dossiê refletem as inconsistências observadas na planilha. A RCEI é descrita apenas na planilha, não há qualquer menção a esse resultado no dossiê, que apresenta apenas os valores de AVG para cada intervenção.</w:t>
            </w:r>
          </w:p>
          <w:p w14:paraId="26D60678" w14:textId="77777777" w:rsidR="00817793" w:rsidRDefault="002719FC">
            <w:pPr>
              <w:spacing w:before="120" w:after="120"/>
            </w:pPr>
            <w:r>
              <w:t>A partir de correções sequenciais conduzidas pelos pareceristas na planilha, conforme os erros apontados anteriormente, foram obtidos os seguintes valores:</w:t>
            </w:r>
          </w:p>
          <w:p w14:paraId="18676528" w14:textId="7459A332" w:rsidR="00817793" w:rsidRDefault="002719FC">
            <w:pPr>
              <w:spacing w:before="120" w:after="120"/>
            </w:pPr>
            <w:r>
              <w:lastRenderedPageBreak/>
              <w:t xml:space="preserve">- </w:t>
            </w:r>
            <w:proofErr w:type="gramStart"/>
            <w:r>
              <w:t>atribuição</w:t>
            </w:r>
            <w:proofErr w:type="gramEnd"/>
            <w:r>
              <w:t>, na célula C33 da aba parâmetros, do nome correspondente empregado nas fórmulas - RCUI = R$ 265.543.</w:t>
            </w:r>
          </w:p>
          <w:p w14:paraId="308A49B3" w14:textId="20604FD4" w:rsidR="00817793" w:rsidRDefault="002719FC">
            <w:pPr>
              <w:spacing w:before="120" w:after="120"/>
            </w:pPr>
            <w:r>
              <w:t xml:space="preserve">- </w:t>
            </w:r>
            <w:proofErr w:type="gramStart"/>
            <w:r>
              <w:t>correção</w:t>
            </w:r>
            <w:proofErr w:type="gramEnd"/>
            <w:r w:rsidR="00962048">
              <w:t xml:space="preserve"> </w:t>
            </w:r>
            <w:r>
              <w:t xml:space="preserve">da fórmula do cálculo da </w:t>
            </w:r>
            <w:proofErr w:type="spellStart"/>
            <w:r>
              <w:t>desutilidade</w:t>
            </w:r>
            <w:proofErr w:type="spellEnd"/>
            <w:r>
              <w:t xml:space="preserve"> na coluna BX das abas Traçados </w:t>
            </w:r>
            <w:proofErr w:type="spellStart"/>
            <w:r>
              <w:t>Anifrolumabe</w:t>
            </w:r>
            <w:proofErr w:type="spellEnd"/>
            <w:r>
              <w:t xml:space="preserve"> e Traçados Tratamento Padrão - RCUI = R$ 259.225 - correspondente ao valor descrito no dossiê.</w:t>
            </w:r>
          </w:p>
          <w:p w14:paraId="38809FC6" w14:textId="77777777" w:rsidR="00817793" w:rsidRDefault="002719FC">
            <w:pPr>
              <w:spacing w:before="120" w:after="120"/>
            </w:pPr>
            <w:r>
              <w:t xml:space="preserve">- </w:t>
            </w:r>
            <w:proofErr w:type="gramStart"/>
            <w:r>
              <w:t>correção</w:t>
            </w:r>
            <w:proofErr w:type="gramEnd"/>
            <w:r>
              <w:t xml:space="preserve"> da redundância do cálculo por ciclo para as </w:t>
            </w:r>
            <w:proofErr w:type="spellStart"/>
            <w:r>
              <w:t>desutilidades</w:t>
            </w:r>
            <w:proofErr w:type="spellEnd"/>
            <w:r>
              <w:t xml:space="preserve"> por EA, em ambos os braços, nas células D55 e D56 na aba Eventos adversos - RCUI = R$ 266.654</w:t>
            </w:r>
          </w:p>
          <w:p w14:paraId="28779DDE" w14:textId="77777777" w:rsidR="00817793" w:rsidRDefault="002719FC">
            <w:pPr>
              <w:spacing w:before="120" w:after="120"/>
            </w:pPr>
            <w:r>
              <w:t xml:space="preserve">- </w:t>
            </w:r>
            <w:proofErr w:type="gramStart"/>
            <w:r>
              <w:t>e</w:t>
            </w:r>
            <w:proofErr w:type="gramEnd"/>
            <w:r>
              <w:t xml:space="preserve"> finalmente seleção da opção de não inclusão de medicamentos orais - RCUI = R$ 271.388,15/AVAQ e RCEI de R$ 1.023.120,34/AVG; custo incremental de R$ 45.990,30, AVAQ incremental de 0,169 e AVG incremental de 0,045.</w:t>
            </w:r>
          </w:p>
        </w:tc>
      </w:tr>
      <w:tr w:rsidR="00817793" w14:paraId="0B24EC9E" w14:textId="77777777">
        <w:tc>
          <w:tcPr>
            <w:tcW w:w="1782" w:type="dxa"/>
          </w:tcPr>
          <w:p w14:paraId="1901F912" w14:textId="77777777" w:rsidR="00817793" w:rsidRDefault="002719FC">
            <w:pPr>
              <w:spacing w:before="120" w:after="120"/>
              <w:jc w:val="center"/>
              <w:rPr>
                <w:b/>
              </w:rPr>
            </w:pPr>
            <w:r>
              <w:rPr>
                <w:b/>
              </w:rPr>
              <w:t>Análise de sensibilidade</w:t>
            </w:r>
          </w:p>
        </w:tc>
        <w:tc>
          <w:tcPr>
            <w:tcW w:w="3149" w:type="dxa"/>
          </w:tcPr>
          <w:p w14:paraId="4967263F" w14:textId="0B4A6F79" w:rsidR="00817793" w:rsidRDefault="002719FC">
            <w:pPr>
              <w:spacing w:before="120" w:after="120"/>
            </w:pPr>
            <w:r>
              <w:t xml:space="preserve">Os resultados da análise de sensibilidade determinística indicaram que os parâmetros com maior influência sobre a RCUI foram o custo de </w:t>
            </w:r>
            <w:proofErr w:type="spellStart"/>
            <w:r>
              <w:t>anifrolumabe</w:t>
            </w:r>
            <w:proofErr w:type="spellEnd"/>
            <w:r>
              <w:t xml:space="preserve"> por ciclo e a taxa de desconto aplicada. Na análise de sensibilidade probabilística, todas as simulações (100%) permaneceram no Quadrante I, indicando que o uso de </w:t>
            </w:r>
            <w:proofErr w:type="spellStart"/>
            <w:r>
              <w:t>anifrolumabe</w:t>
            </w:r>
            <w:proofErr w:type="spellEnd"/>
            <w:r>
              <w:t xml:space="preserve"> é associado a maior efetividade, porém com custos mais elevados em comparação ao tratamento padrão. Adicionalmente, 95% das simulações resultaram em uma RCUI entre R$ 178.747 e R$ 382.458, representando o intervalo de credibilidade de 95%.</w:t>
            </w:r>
          </w:p>
        </w:tc>
        <w:tc>
          <w:tcPr>
            <w:tcW w:w="4355" w:type="dxa"/>
          </w:tcPr>
          <w:p w14:paraId="68DD2606" w14:textId="29E32D37" w:rsidR="00817793" w:rsidRDefault="002719FC">
            <w:pPr>
              <w:spacing w:before="120" w:after="120"/>
            </w:pPr>
            <w:r>
              <w:t>As análises de sensibilidade determinística e probabilística foram conduzidas satisfatoriamente. O botão e a macro para a ASD na planilha não funcionou, não sendo possível conferir a análise. Além disso, não foram apresentados os resultados das análises de cenários descritas na caracterização do</w:t>
            </w:r>
            <w:r w:rsidR="00962048">
              <w:t>s</w:t>
            </w:r>
            <w:r>
              <w:t xml:space="preserve"> modelos, bem como não há descrição do impacto das incertezas relacionadas à estrutura do modelo e pressupostos adotados.</w:t>
            </w:r>
          </w:p>
        </w:tc>
      </w:tr>
      <w:tr w:rsidR="00817793" w14:paraId="12770269" w14:textId="77777777">
        <w:tc>
          <w:tcPr>
            <w:tcW w:w="1782" w:type="dxa"/>
          </w:tcPr>
          <w:p w14:paraId="056CA42D" w14:textId="77777777" w:rsidR="00817793" w:rsidRDefault="002719FC">
            <w:pPr>
              <w:spacing w:before="120" w:after="120"/>
              <w:jc w:val="center"/>
              <w:rPr>
                <w:b/>
              </w:rPr>
            </w:pPr>
            <w:r>
              <w:rPr>
                <w:b/>
              </w:rPr>
              <w:t>Caracterização da heterogeneidade</w:t>
            </w:r>
          </w:p>
        </w:tc>
        <w:tc>
          <w:tcPr>
            <w:tcW w:w="3149" w:type="dxa"/>
          </w:tcPr>
          <w:p w14:paraId="141C5E99" w14:textId="77777777" w:rsidR="00817793" w:rsidRDefault="002719FC">
            <w:pPr>
              <w:spacing w:before="120" w:after="120" w:line="360" w:lineRule="auto"/>
              <w:jc w:val="center"/>
            </w:pPr>
            <w:r>
              <w:t>Não se aplica.</w:t>
            </w:r>
          </w:p>
        </w:tc>
        <w:tc>
          <w:tcPr>
            <w:tcW w:w="4355" w:type="dxa"/>
          </w:tcPr>
          <w:p w14:paraId="14CBC82B" w14:textId="77777777" w:rsidR="00817793" w:rsidRDefault="002719FC">
            <w:pPr>
              <w:spacing w:before="120" w:after="120" w:line="360" w:lineRule="auto"/>
              <w:jc w:val="center"/>
              <w:rPr>
                <w:i/>
                <w:color w:val="FF0000"/>
              </w:rPr>
            </w:pPr>
            <w:r>
              <w:t>Não se aplica.</w:t>
            </w:r>
          </w:p>
        </w:tc>
      </w:tr>
    </w:tbl>
    <w:p w14:paraId="7B37605A" w14:textId="77777777" w:rsidR="00817793" w:rsidRDefault="00817793">
      <w:pPr>
        <w:rPr>
          <w:smallCaps/>
          <w:highlight w:val="cyan"/>
        </w:rPr>
      </w:pPr>
    </w:p>
    <w:tbl>
      <w:tblPr>
        <w:tblStyle w:val="aff4"/>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8A359E8" w14:textId="77777777">
        <w:trPr>
          <w:trHeight w:val="416"/>
        </w:trPr>
        <w:tc>
          <w:tcPr>
            <w:tcW w:w="9072" w:type="dxa"/>
            <w:shd w:val="clear" w:color="auto" w:fill="D9E2F3"/>
            <w:vAlign w:val="center"/>
          </w:tcPr>
          <w:p w14:paraId="52B293FB" w14:textId="77777777" w:rsidR="00817793" w:rsidRDefault="002719FC">
            <w:pPr>
              <w:spacing w:before="120" w:after="120" w:line="240" w:lineRule="auto"/>
              <w:jc w:val="center"/>
              <w:rPr>
                <w:b/>
              </w:rPr>
            </w:pPr>
            <w:r>
              <w:rPr>
                <w:b/>
              </w:rPr>
              <w:t>Comentários adicionais sobre os resultados da avaliação econômica apresentada pelo proponente</w:t>
            </w:r>
          </w:p>
        </w:tc>
      </w:tr>
      <w:tr w:rsidR="00817793" w14:paraId="4E943F83" w14:textId="77777777">
        <w:trPr>
          <w:trHeight w:val="750"/>
        </w:trPr>
        <w:tc>
          <w:tcPr>
            <w:tcW w:w="9072" w:type="dxa"/>
            <w:vAlign w:val="center"/>
          </w:tcPr>
          <w:p w14:paraId="7FA98152" w14:textId="77777777" w:rsidR="00817793" w:rsidRDefault="002719FC">
            <w:pPr>
              <w:spacing w:before="120" w:after="120" w:line="240" w:lineRule="auto"/>
            </w:pPr>
            <w:r>
              <w:t xml:space="preserve">O dossiê não apresenta os dados de todos os parâmetros empregados na análise. As estimativas de efetividade e custos incrementais e a RCUI descritos no dossiê refletem os erros e inconsistências da planilha. </w:t>
            </w:r>
          </w:p>
          <w:p w14:paraId="58687C42" w14:textId="77777777" w:rsidR="00817793" w:rsidRDefault="002719FC">
            <w:pPr>
              <w:spacing w:before="120" w:after="120" w:line="240" w:lineRule="auto"/>
            </w:pPr>
            <w:r>
              <w:t>Após correções, o valor final da RCUI foi de R$271.388,15/AVAQ. As análises de sensibilidades determinística e probabilística foram realizadas, mas a primeira não pôde ser verificada. Não foram apresentados os resultados das análises de cenários, e o impacto das incertezas do modelo não foram discutidos.</w:t>
            </w:r>
          </w:p>
        </w:tc>
      </w:tr>
    </w:tbl>
    <w:p w14:paraId="394798F2" w14:textId="77777777" w:rsidR="00817793" w:rsidRDefault="00817793">
      <w:pPr>
        <w:rPr>
          <w:smallCaps/>
          <w:highlight w:val="cyan"/>
        </w:rPr>
      </w:pPr>
    </w:p>
    <w:p w14:paraId="695C44B2" w14:textId="77777777" w:rsidR="00817793" w:rsidRDefault="002719FC">
      <w:pPr>
        <w:pStyle w:val="Ttulo4"/>
      </w:pPr>
      <w:bookmarkStart w:id="53" w:name="_5wa330cd00kg" w:colFirst="0" w:colLast="0"/>
      <w:bookmarkEnd w:id="53"/>
      <w:r>
        <w:rPr>
          <w:b/>
        </w:rPr>
        <w:t>Quadro 23.</w:t>
      </w:r>
      <w:r>
        <w:t xml:space="preserve"> Razão de custo-utilidade incremental (RCUI) da avaliação econômica elaborada pelo PROPONENTE</w:t>
      </w:r>
    </w:p>
    <w:tbl>
      <w:tblPr>
        <w:tblStyle w:val="aff5"/>
        <w:tblW w:w="906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365"/>
        <w:gridCol w:w="1248"/>
        <w:gridCol w:w="1663"/>
        <w:gridCol w:w="1258"/>
        <w:gridCol w:w="1399"/>
        <w:gridCol w:w="1127"/>
      </w:tblGrid>
      <w:tr w:rsidR="00817793" w14:paraId="5C0A2A07" w14:textId="77777777">
        <w:tc>
          <w:tcPr>
            <w:tcW w:w="2365" w:type="dxa"/>
            <w:shd w:val="clear" w:color="auto" w:fill="D9E2F3"/>
            <w:vAlign w:val="center"/>
          </w:tcPr>
          <w:p w14:paraId="0193CB87" w14:textId="77777777" w:rsidR="00817793" w:rsidRDefault="002719FC">
            <w:pPr>
              <w:spacing w:before="120" w:after="120"/>
              <w:rPr>
                <w:b/>
              </w:rPr>
            </w:pPr>
            <w:r>
              <w:rPr>
                <w:b/>
              </w:rPr>
              <w:t>Item</w:t>
            </w:r>
          </w:p>
        </w:tc>
        <w:tc>
          <w:tcPr>
            <w:tcW w:w="1248" w:type="dxa"/>
            <w:shd w:val="clear" w:color="auto" w:fill="D9E2F3"/>
          </w:tcPr>
          <w:p w14:paraId="0D169257" w14:textId="77777777" w:rsidR="00817793" w:rsidRDefault="002719FC">
            <w:pPr>
              <w:spacing w:before="120" w:after="120"/>
              <w:jc w:val="center"/>
              <w:rPr>
                <w:b/>
              </w:rPr>
            </w:pPr>
            <w:r>
              <w:rPr>
                <w:b/>
              </w:rPr>
              <w:t>Efetividade (AVAQ)</w:t>
            </w:r>
          </w:p>
        </w:tc>
        <w:tc>
          <w:tcPr>
            <w:tcW w:w="1663" w:type="dxa"/>
            <w:shd w:val="clear" w:color="auto" w:fill="D9E2F3"/>
          </w:tcPr>
          <w:p w14:paraId="09E3D0DA" w14:textId="77777777" w:rsidR="00817793" w:rsidRDefault="002719FC">
            <w:pPr>
              <w:spacing w:before="120" w:after="120"/>
              <w:jc w:val="center"/>
              <w:rPr>
                <w:b/>
              </w:rPr>
            </w:pPr>
            <w:r>
              <w:rPr>
                <w:b/>
              </w:rPr>
              <w:t>Diferença de efetividade</w:t>
            </w:r>
          </w:p>
        </w:tc>
        <w:tc>
          <w:tcPr>
            <w:tcW w:w="1258" w:type="dxa"/>
            <w:shd w:val="clear" w:color="auto" w:fill="D9E2F3"/>
          </w:tcPr>
          <w:p w14:paraId="06199971" w14:textId="77777777" w:rsidR="00817793" w:rsidRDefault="002719FC">
            <w:pPr>
              <w:spacing w:before="120" w:after="120"/>
              <w:jc w:val="center"/>
              <w:rPr>
                <w:b/>
              </w:rPr>
            </w:pPr>
            <w:r>
              <w:rPr>
                <w:b/>
              </w:rPr>
              <w:t>Custo</w:t>
            </w:r>
          </w:p>
        </w:tc>
        <w:tc>
          <w:tcPr>
            <w:tcW w:w="1399" w:type="dxa"/>
            <w:shd w:val="clear" w:color="auto" w:fill="D9E2F3"/>
          </w:tcPr>
          <w:p w14:paraId="5650D416" w14:textId="77777777" w:rsidR="00817793" w:rsidRDefault="002719FC">
            <w:pPr>
              <w:spacing w:before="120" w:after="120"/>
              <w:jc w:val="center"/>
              <w:rPr>
                <w:b/>
              </w:rPr>
            </w:pPr>
            <w:r>
              <w:rPr>
                <w:b/>
              </w:rPr>
              <w:t>Diferença de custo</w:t>
            </w:r>
          </w:p>
        </w:tc>
        <w:tc>
          <w:tcPr>
            <w:tcW w:w="1127" w:type="dxa"/>
            <w:shd w:val="clear" w:color="auto" w:fill="D9E2F3"/>
          </w:tcPr>
          <w:p w14:paraId="567472B4" w14:textId="77777777" w:rsidR="00817793" w:rsidRDefault="002719FC">
            <w:pPr>
              <w:spacing w:before="120" w:after="120"/>
              <w:jc w:val="center"/>
              <w:rPr>
                <w:b/>
              </w:rPr>
            </w:pPr>
            <w:r>
              <w:rPr>
                <w:b/>
              </w:rPr>
              <w:t>RCUI</w:t>
            </w:r>
          </w:p>
        </w:tc>
      </w:tr>
      <w:tr w:rsidR="00817793" w14:paraId="151C806A" w14:textId="77777777">
        <w:tc>
          <w:tcPr>
            <w:tcW w:w="2365" w:type="dxa"/>
            <w:vAlign w:val="center"/>
          </w:tcPr>
          <w:p w14:paraId="3C48C94F" w14:textId="77777777" w:rsidR="00817793" w:rsidRDefault="002719FC">
            <w:pPr>
              <w:spacing w:before="120" w:after="120"/>
            </w:pPr>
            <w:r>
              <w:t>Tecnologia-Intervenção</w:t>
            </w:r>
          </w:p>
        </w:tc>
        <w:tc>
          <w:tcPr>
            <w:tcW w:w="1248" w:type="dxa"/>
          </w:tcPr>
          <w:p w14:paraId="29CB39AF" w14:textId="77777777" w:rsidR="00817793" w:rsidRDefault="002719FC">
            <w:pPr>
              <w:spacing w:before="120" w:after="120"/>
              <w:jc w:val="center"/>
            </w:pPr>
            <w:r>
              <w:t>9,086</w:t>
            </w:r>
          </w:p>
        </w:tc>
        <w:tc>
          <w:tcPr>
            <w:tcW w:w="1663" w:type="dxa"/>
            <w:vAlign w:val="center"/>
          </w:tcPr>
          <w:p w14:paraId="3889A505" w14:textId="77777777" w:rsidR="00817793" w:rsidRDefault="00817793">
            <w:pPr>
              <w:spacing w:before="120" w:after="120"/>
              <w:jc w:val="center"/>
            </w:pPr>
          </w:p>
        </w:tc>
        <w:tc>
          <w:tcPr>
            <w:tcW w:w="1258" w:type="dxa"/>
          </w:tcPr>
          <w:p w14:paraId="447B94DF" w14:textId="77777777" w:rsidR="00817793" w:rsidRDefault="002719FC">
            <w:pPr>
              <w:spacing w:before="120" w:after="120"/>
              <w:jc w:val="center"/>
            </w:pPr>
            <w:r>
              <w:t>R$ 381.635</w:t>
            </w:r>
          </w:p>
        </w:tc>
        <w:tc>
          <w:tcPr>
            <w:tcW w:w="1399" w:type="dxa"/>
          </w:tcPr>
          <w:p w14:paraId="29079D35" w14:textId="77777777" w:rsidR="00817793" w:rsidRDefault="00817793">
            <w:pPr>
              <w:spacing w:before="120" w:after="120"/>
              <w:jc w:val="center"/>
            </w:pPr>
          </w:p>
        </w:tc>
        <w:tc>
          <w:tcPr>
            <w:tcW w:w="1127" w:type="dxa"/>
          </w:tcPr>
          <w:p w14:paraId="17686DC7" w14:textId="77777777" w:rsidR="00817793" w:rsidRDefault="00817793">
            <w:pPr>
              <w:spacing w:before="120" w:after="120"/>
              <w:jc w:val="center"/>
            </w:pPr>
          </w:p>
        </w:tc>
      </w:tr>
      <w:tr w:rsidR="00817793" w14:paraId="7556C119" w14:textId="77777777">
        <w:tc>
          <w:tcPr>
            <w:tcW w:w="2365" w:type="dxa"/>
            <w:vAlign w:val="center"/>
          </w:tcPr>
          <w:p w14:paraId="3FCE804F" w14:textId="77777777" w:rsidR="00817793" w:rsidRDefault="002719FC">
            <w:pPr>
              <w:spacing w:before="120" w:after="120"/>
            </w:pPr>
            <w:r>
              <w:t>Comparador</w:t>
            </w:r>
          </w:p>
        </w:tc>
        <w:tc>
          <w:tcPr>
            <w:tcW w:w="1248" w:type="dxa"/>
          </w:tcPr>
          <w:p w14:paraId="088F7B30" w14:textId="77777777" w:rsidR="00817793" w:rsidRDefault="002719FC">
            <w:pPr>
              <w:spacing w:before="120" w:after="120"/>
              <w:jc w:val="center"/>
            </w:pPr>
            <w:r>
              <w:t>8,912</w:t>
            </w:r>
          </w:p>
        </w:tc>
        <w:tc>
          <w:tcPr>
            <w:tcW w:w="1663" w:type="dxa"/>
            <w:vAlign w:val="center"/>
          </w:tcPr>
          <w:p w14:paraId="53BD644D" w14:textId="77777777" w:rsidR="00817793" w:rsidRDefault="00817793">
            <w:pPr>
              <w:spacing w:before="120" w:after="120"/>
              <w:jc w:val="center"/>
            </w:pPr>
          </w:p>
        </w:tc>
        <w:tc>
          <w:tcPr>
            <w:tcW w:w="1258" w:type="dxa"/>
          </w:tcPr>
          <w:p w14:paraId="51705B44" w14:textId="77777777" w:rsidR="00817793" w:rsidRDefault="002719FC">
            <w:pPr>
              <w:spacing w:before="120" w:after="120"/>
              <w:jc w:val="center"/>
            </w:pPr>
            <w:r>
              <w:t>R$ 336.447</w:t>
            </w:r>
          </w:p>
        </w:tc>
        <w:tc>
          <w:tcPr>
            <w:tcW w:w="1399" w:type="dxa"/>
          </w:tcPr>
          <w:p w14:paraId="1A3FAC43" w14:textId="77777777" w:rsidR="00817793" w:rsidRDefault="00817793">
            <w:pPr>
              <w:spacing w:before="120" w:after="120"/>
              <w:jc w:val="center"/>
            </w:pPr>
          </w:p>
        </w:tc>
        <w:tc>
          <w:tcPr>
            <w:tcW w:w="1127" w:type="dxa"/>
          </w:tcPr>
          <w:p w14:paraId="2BBD94B2" w14:textId="77777777" w:rsidR="00817793" w:rsidRDefault="00817793">
            <w:pPr>
              <w:spacing w:before="120" w:after="120"/>
              <w:jc w:val="center"/>
            </w:pPr>
          </w:p>
        </w:tc>
      </w:tr>
      <w:tr w:rsidR="00817793" w14:paraId="6E808E4B" w14:textId="77777777">
        <w:tc>
          <w:tcPr>
            <w:tcW w:w="2365" w:type="dxa"/>
            <w:vAlign w:val="center"/>
          </w:tcPr>
          <w:p w14:paraId="5854DE7F" w14:textId="77777777" w:rsidR="00817793" w:rsidRDefault="00817793">
            <w:pPr>
              <w:spacing w:before="120" w:after="120"/>
            </w:pPr>
          </w:p>
        </w:tc>
        <w:tc>
          <w:tcPr>
            <w:tcW w:w="1248" w:type="dxa"/>
          </w:tcPr>
          <w:p w14:paraId="2CA7ADD4" w14:textId="77777777" w:rsidR="00817793" w:rsidRDefault="00817793">
            <w:pPr>
              <w:spacing w:before="120" w:after="120"/>
              <w:jc w:val="center"/>
            </w:pPr>
          </w:p>
        </w:tc>
        <w:tc>
          <w:tcPr>
            <w:tcW w:w="1663" w:type="dxa"/>
            <w:vAlign w:val="center"/>
          </w:tcPr>
          <w:p w14:paraId="15D05653" w14:textId="77777777" w:rsidR="00817793" w:rsidRDefault="002719FC">
            <w:pPr>
              <w:spacing w:before="120" w:after="120"/>
              <w:jc w:val="center"/>
            </w:pPr>
            <w:r>
              <w:t>0,174</w:t>
            </w:r>
          </w:p>
        </w:tc>
        <w:tc>
          <w:tcPr>
            <w:tcW w:w="1258" w:type="dxa"/>
          </w:tcPr>
          <w:p w14:paraId="314EE24A" w14:textId="77777777" w:rsidR="00817793" w:rsidRDefault="00817793">
            <w:pPr>
              <w:spacing w:before="120" w:after="120"/>
              <w:jc w:val="center"/>
            </w:pPr>
          </w:p>
        </w:tc>
        <w:tc>
          <w:tcPr>
            <w:tcW w:w="1399" w:type="dxa"/>
          </w:tcPr>
          <w:p w14:paraId="7D2600B5" w14:textId="77777777" w:rsidR="00817793" w:rsidRDefault="002719FC">
            <w:pPr>
              <w:spacing w:before="120" w:after="120"/>
              <w:jc w:val="center"/>
            </w:pPr>
            <w:r>
              <w:t>R$ 45.188</w:t>
            </w:r>
          </w:p>
        </w:tc>
        <w:tc>
          <w:tcPr>
            <w:tcW w:w="1127" w:type="dxa"/>
          </w:tcPr>
          <w:p w14:paraId="595D6942" w14:textId="77777777" w:rsidR="00817793" w:rsidRDefault="002719FC">
            <w:pPr>
              <w:spacing w:before="120" w:after="120"/>
              <w:jc w:val="center"/>
            </w:pPr>
            <w:r>
              <w:t>R$ 259.225</w:t>
            </w:r>
          </w:p>
        </w:tc>
      </w:tr>
    </w:tbl>
    <w:p w14:paraId="76614669" w14:textId="77777777" w:rsidR="00817793" w:rsidRDefault="00817793">
      <w:pPr>
        <w:rPr>
          <w:smallCaps/>
          <w:highlight w:val="cyan"/>
        </w:rPr>
      </w:pPr>
      <w:bookmarkStart w:id="54" w:name="_49x2ik5" w:colFirst="0" w:colLast="0"/>
      <w:bookmarkEnd w:id="54"/>
    </w:p>
    <w:tbl>
      <w:tblPr>
        <w:tblStyle w:val="aff6"/>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C238E20" w14:textId="77777777">
        <w:trPr>
          <w:trHeight w:val="416"/>
        </w:trPr>
        <w:tc>
          <w:tcPr>
            <w:tcW w:w="9072" w:type="dxa"/>
            <w:shd w:val="clear" w:color="auto" w:fill="D9E2F3"/>
            <w:vAlign w:val="center"/>
          </w:tcPr>
          <w:p w14:paraId="74AA43A7" w14:textId="77777777" w:rsidR="00817793" w:rsidRDefault="002719FC">
            <w:pPr>
              <w:spacing w:before="120" w:after="120" w:line="240" w:lineRule="auto"/>
              <w:jc w:val="center"/>
              <w:rPr>
                <w:b/>
              </w:rPr>
            </w:pPr>
            <w:r>
              <w:rPr>
                <w:b/>
              </w:rPr>
              <w:t>Comentários adicionais sobre a razão de custo-efetividade incremental apresentada pelo proponente</w:t>
            </w:r>
          </w:p>
        </w:tc>
      </w:tr>
      <w:tr w:rsidR="00817793" w14:paraId="7CD23F7B" w14:textId="77777777">
        <w:trPr>
          <w:trHeight w:val="750"/>
        </w:trPr>
        <w:tc>
          <w:tcPr>
            <w:tcW w:w="9072" w:type="dxa"/>
            <w:vAlign w:val="center"/>
          </w:tcPr>
          <w:p w14:paraId="780043B6" w14:textId="77777777" w:rsidR="00817793" w:rsidRDefault="002719FC">
            <w:pPr>
              <w:spacing w:before="120" w:after="120" w:line="240" w:lineRule="auto"/>
            </w:pPr>
            <w:r>
              <w:t>A partir de correções sequenciais conduzidas pelos pareceristas na planilha, conforme os erros apontados anteriormente, foram obtidos os seguintes valores para a RCUI:</w:t>
            </w:r>
          </w:p>
          <w:p w14:paraId="1188F3A9" w14:textId="2E4CB9BA" w:rsidR="00817793" w:rsidRDefault="002719FC">
            <w:pPr>
              <w:spacing w:before="120" w:after="120" w:line="240" w:lineRule="auto"/>
            </w:pPr>
            <w:r>
              <w:t xml:space="preserve">- </w:t>
            </w:r>
            <w:proofErr w:type="gramStart"/>
            <w:r>
              <w:t>atribuição</w:t>
            </w:r>
            <w:proofErr w:type="gramEnd"/>
            <w:r>
              <w:t>, na célula C33 da aba parâmetros, do nome correspondente empregado nas fórmulas - RCUI = R$ 265.543.</w:t>
            </w:r>
          </w:p>
          <w:p w14:paraId="2726277C" w14:textId="77777777" w:rsidR="00817793" w:rsidRDefault="002719FC">
            <w:pPr>
              <w:spacing w:before="120" w:after="120" w:line="240" w:lineRule="auto"/>
            </w:pPr>
            <w:r>
              <w:t xml:space="preserve">- </w:t>
            </w:r>
            <w:proofErr w:type="gramStart"/>
            <w:r>
              <w:t>correção</w:t>
            </w:r>
            <w:proofErr w:type="gramEnd"/>
            <w:r>
              <w:t xml:space="preserve"> da fórmula do cálculo da </w:t>
            </w:r>
            <w:proofErr w:type="spellStart"/>
            <w:r>
              <w:t>desutilidade</w:t>
            </w:r>
            <w:proofErr w:type="spellEnd"/>
            <w:r>
              <w:t xml:space="preserve"> na coluna BX das abas Traçados </w:t>
            </w:r>
            <w:proofErr w:type="spellStart"/>
            <w:r>
              <w:t>Anifrolumabe</w:t>
            </w:r>
            <w:proofErr w:type="spellEnd"/>
            <w:r>
              <w:t xml:space="preserve"> e Traçados Tratamento Padrão - RCUI = R$ 259.225 - corresponde ao valor descrito no dossiê</w:t>
            </w:r>
          </w:p>
          <w:p w14:paraId="44C8B4A0" w14:textId="77777777" w:rsidR="00817793" w:rsidRDefault="002719FC">
            <w:pPr>
              <w:spacing w:before="120" w:after="120" w:line="240" w:lineRule="auto"/>
            </w:pPr>
            <w:r>
              <w:t xml:space="preserve">- </w:t>
            </w:r>
            <w:proofErr w:type="gramStart"/>
            <w:r>
              <w:t>correção</w:t>
            </w:r>
            <w:proofErr w:type="gramEnd"/>
            <w:r>
              <w:t xml:space="preserve"> da redundância do cálculo por ciclo para as </w:t>
            </w:r>
            <w:proofErr w:type="spellStart"/>
            <w:r>
              <w:t>desutilidades</w:t>
            </w:r>
            <w:proofErr w:type="spellEnd"/>
            <w:r>
              <w:t xml:space="preserve"> por EA, em ambos os braços, nas células D55 e D56 na aba Eventos adversos - RCUI = R$ 266.654</w:t>
            </w:r>
          </w:p>
          <w:p w14:paraId="6A97A9D6" w14:textId="77777777" w:rsidR="00817793" w:rsidRDefault="002719FC">
            <w:pPr>
              <w:spacing w:before="120" w:after="120" w:line="240" w:lineRule="auto"/>
            </w:pPr>
            <w:r>
              <w:lastRenderedPageBreak/>
              <w:t xml:space="preserve">- </w:t>
            </w:r>
            <w:proofErr w:type="gramStart"/>
            <w:r>
              <w:t>e</w:t>
            </w:r>
            <w:proofErr w:type="gramEnd"/>
            <w:r>
              <w:t xml:space="preserve"> finalmente seleção da opção de não inclusão de medicamentos orais - RCUI = R$ 271.388,15/AVAQ.</w:t>
            </w:r>
          </w:p>
        </w:tc>
      </w:tr>
    </w:tbl>
    <w:p w14:paraId="57590049" w14:textId="77777777" w:rsidR="00817793" w:rsidRDefault="00817793">
      <w:pPr>
        <w:rPr>
          <w:smallCaps/>
          <w:highlight w:val="cyan"/>
        </w:rPr>
      </w:pPr>
      <w:bookmarkStart w:id="55" w:name="_2p2csry" w:colFirst="0" w:colLast="0"/>
      <w:bookmarkEnd w:id="55"/>
    </w:p>
    <w:p w14:paraId="7E48390C" w14:textId="77777777" w:rsidR="00817793" w:rsidRDefault="002719FC">
      <w:pPr>
        <w:pStyle w:val="Ttulo2"/>
      </w:pPr>
      <w:r>
        <w:t>6.3 Discussão e conclusões</w:t>
      </w:r>
    </w:p>
    <w:p w14:paraId="43283A6C" w14:textId="77777777" w:rsidR="00817793" w:rsidRDefault="002719FC">
      <w:pPr>
        <w:pStyle w:val="Ttulo4"/>
      </w:pPr>
      <w:bookmarkStart w:id="56" w:name="_hgxjm28np12" w:colFirst="0" w:colLast="0"/>
      <w:bookmarkEnd w:id="56"/>
      <w:r>
        <w:rPr>
          <w:b/>
        </w:rPr>
        <w:t>Quadro 24.</w:t>
      </w:r>
      <w:r>
        <w:t xml:space="preserve"> Componentes da discussão e conclusões </w:t>
      </w:r>
    </w:p>
    <w:tbl>
      <w:tblPr>
        <w:tblStyle w:val="aff7"/>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26"/>
        <w:gridCol w:w="3260"/>
        <w:gridCol w:w="4500"/>
      </w:tblGrid>
      <w:tr w:rsidR="00817793" w14:paraId="49198252" w14:textId="77777777">
        <w:tc>
          <w:tcPr>
            <w:tcW w:w="1526" w:type="dxa"/>
            <w:shd w:val="clear" w:color="auto" w:fill="D9E2F3"/>
          </w:tcPr>
          <w:p w14:paraId="775AA136" w14:textId="77777777" w:rsidR="00817793" w:rsidRDefault="002719FC">
            <w:pPr>
              <w:spacing w:before="120" w:after="120"/>
              <w:jc w:val="center"/>
            </w:pPr>
            <w:r>
              <w:rPr>
                <w:b/>
              </w:rPr>
              <w:t>Componente</w:t>
            </w:r>
          </w:p>
        </w:tc>
        <w:tc>
          <w:tcPr>
            <w:tcW w:w="3260" w:type="dxa"/>
            <w:shd w:val="clear" w:color="auto" w:fill="D9E2F3"/>
          </w:tcPr>
          <w:p w14:paraId="7490DBAF" w14:textId="77777777" w:rsidR="00817793" w:rsidRDefault="002719FC">
            <w:pPr>
              <w:spacing w:before="120" w:after="120"/>
              <w:jc w:val="center"/>
            </w:pPr>
            <w:r>
              <w:rPr>
                <w:b/>
              </w:rPr>
              <w:t>Proponente</w:t>
            </w:r>
          </w:p>
        </w:tc>
        <w:tc>
          <w:tcPr>
            <w:tcW w:w="4500" w:type="dxa"/>
            <w:shd w:val="clear" w:color="auto" w:fill="D9E2F3"/>
          </w:tcPr>
          <w:p w14:paraId="0C5EB290" w14:textId="77777777" w:rsidR="00817793" w:rsidRDefault="002719FC">
            <w:pPr>
              <w:spacing w:before="120" w:after="120"/>
              <w:jc w:val="center"/>
              <w:rPr>
                <w:b/>
              </w:rPr>
            </w:pPr>
            <w:r>
              <w:rPr>
                <w:b/>
              </w:rPr>
              <w:t>Análise da proposta</w:t>
            </w:r>
          </w:p>
        </w:tc>
      </w:tr>
      <w:tr w:rsidR="00817793" w14:paraId="752718DE" w14:textId="77777777">
        <w:tc>
          <w:tcPr>
            <w:tcW w:w="1526" w:type="dxa"/>
          </w:tcPr>
          <w:p w14:paraId="6001D033" w14:textId="77777777" w:rsidR="00817793" w:rsidRDefault="002719FC">
            <w:pPr>
              <w:spacing w:before="120" w:after="120"/>
              <w:jc w:val="center"/>
              <w:rPr>
                <w:b/>
              </w:rPr>
            </w:pPr>
            <w:r>
              <w:rPr>
                <w:b/>
              </w:rPr>
              <w:t>Principais achados</w:t>
            </w:r>
          </w:p>
        </w:tc>
        <w:tc>
          <w:tcPr>
            <w:tcW w:w="3260" w:type="dxa"/>
          </w:tcPr>
          <w:p w14:paraId="1A03512B" w14:textId="77777777" w:rsidR="00817793" w:rsidRDefault="002719FC">
            <w:pPr>
              <w:spacing w:before="120" w:after="120"/>
            </w:pPr>
            <w:r>
              <w:t xml:space="preserve">O </w:t>
            </w:r>
            <w:proofErr w:type="spellStart"/>
            <w:r>
              <w:t>anifrolumabe</w:t>
            </w:r>
            <w:proofErr w:type="spellEnd"/>
            <w:r>
              <w:t xml:space="preserve"> demonstra benefícios clínicos significativos, como maior efetividade em atingir e manter LLDAS, redução de exacerbações e menor uso de corticosteroides. Apesar dos custos adicionais, o modelo de custo-efetividade confirma que esses ganhos justificam o investimento, especialmente com a introdução de critérios de descontinuação que maximizam o benefício clínico e econômico. Dessa forma, recomenda-se a incorporação do </w:t>
            </w:r>
            <w:proofErr w:type="spellStart"/>
            <w:r>
              <w:t>anifrolumabe</w:t>
            </w:r>
            <w:proofErr w:type="spellEnd"/>
            <w:r>
              <w:t xml:space="preserve"> na saúde suplementar brasileira como uma opção terapêutica inovadora e eficaz para pacientes com LES moderado a grave, ampliando o acesso a um tratamento que atende a necessidades clínicas não supridas e melhora os desfechos para essa população.</w:t>
            </w:r>
          </w:p>
        </w:tc>
        <w:tc>
          <w:tcPr>
            <w:tcW w:w="4500" w:type="dxa"/>
          </w:tcPr>
          <w:p w14:paraId="5E1F1A75" w14:textId="77777777" w:rsidR="00817793" w:rsidRDefault="002719FC">
            <w:pPr>
              <w:spacing w:before="120" w:after="120"/>
            </w:pPr>
            <w:r>
              <w:t xml:space="preserve">O proponente apresenta uma sumarização das características e principais achados da análise, e ressalta os pontos fortes do modelo. Se apoia nesses fatores para descrever os benefícios do </w:t>
            </w:r>
            <w:proofErr w:type="spellStart"/>
            <w:r>
              <w:t>anifrolumabe</w:t>
            </w:r>
            <w:proofErr w:type="spellEnd"/>
            <w:r>
              <w:t xml:space="preserve"> e recomendar a sua incorporação na saúde suplementar.</w:t>
            </w:r>
          </w:p>
        </w:tc>
      </w:tr>
      <w:tr w:rsidR="00817793" w14:paraId="540AB41D" w14:textId="77777777">
        <w:tc>
          <w:tcPr>
            <w:tcW w:w="1526" w:type="dxa"/>
          </w:tcPr>
          <w:p w14:paraId="5789D863" w14:textId="77777777" w:rsidR="00817793" w:rsidRDefault="002719FC">
            <w:pPr>
              <w:spacing w:before="120" w:after="120"/>
              <w:jc w:val="center"/>
              <w:rPr>
                <w:b/>
              </w:rPr>
            </w:pPr>
            <w:r>
              <w:rPr>
                <w:b/>
              </w:rPr>
              <w:t>Limitações</w:t>
            </w:r>
          </w:p>
        </w:tc>
        <w:tc>
          <w:tcPr>
            <w:tcW w:w="3260" w:type="dxa"/>
          </w:tcPr>
          <w:p w14:paraId="6CC74F12" w14:textId="77777777" w:rsidR="00817793" w:rsidRDefault="002719FC">
            <w:pPr>
              <w:spacing w:before="120" w:after="120"/>
            </w:pPr>
            <w:r>
              <w:t>Não foram discutidas no dossiê</w:t>
            </w:r>
          </w:p>
        </w:tc>
        <w:tc>
          <w:tcPr>
            <w:tcW w:w="4500" w:type="dxa"/>
          </w:tcPr>
          <w:p w14:paraId="2F57A33C" w14:textId="77777777" w:rsidR="00817793" w:rsidRDefault="002719FC">
            <w:pPr>
              <w:spacing w:before="120" w:after="120"/>
              <w:rPr>
                <w:i/>
                <w:color w:val="FF0000"/>
              </w:rPr>
            </w:pPr>
            <w:r>
              <w:t xml:space="preserve">O estudo apresenta limitações, conforme discutido nos tópicos anteriores, que agregam incertezas à análise. Não há no dossiê uma discussão sobre essas limitações e suas implicações para os resultados obtidos. </w:t>
            </w:r>
          </w:p>
        </w:tc>
      </w:tr>
      <w:tr w:rsidR="00817793" w14:paraId="562566F6" w14:textId="77777777">
        <w:tc>
          <w:tcPr>
            <w:tcW w:w="1526" w:type="dxa"/>
          </w:tcPr>
          <w:p w14:paraId="6E4931E9" w14:textId="77777777" w:rsidR="00817793" w:rsidRDefault="002719FC">
            <w:pPr>
              <w:spacing w:before="120" w:after="120"/>
              <w:jc w:val="center"/>
              <w:rPr>
                <w:b/>
              </w:rPr>
            </w:pPr>
            <w:r>
              <w:rPr>
                <w:b/>
              </w:rPr>
              <w:lastRenderedPageBreak/>
              <w:t>Generalização dos achados</w:t>
            </w:r>
          </w:p>
          <w:p w14:paraId="6018C744" w14:textId="77777777" w:rsidR="00817793" w:rsidRDefault="002719FC">
            <w:pPr>
              <w:spacing w:before="120" w:after="120"/>
              <w:jc w:val="center"/>
              <w:rPr>
                <w:b/>
              </w:rPr>
            </w:pPr>
            <w:r>
              <w:rPr>
                <w:b/>
              </w:rPr>
              <w:t>Implicações para a prática</w:t>
            </w:r>
          </w:p>
        </w:tc>
        <w:tc>
          <w:tcPr>
            <w:tcW w:w="3260" w:type="dxa"/>
          </w:tcPr>
          <w:p w14:paraId="7142A17F" w14:textId="77777777" w:rsidR="00817793" w:rsidRDefault="002719FC">
            <w:pPr>
              <w:spacing w:before="120" w:after="120"/>
            </w:pPr>
            <w:r>
              <w:t xml:space="preserve">Não há menção sobre a generalização dos achados no dossiê.  Quanto às implicações práticas, o proponente argumenta que a incorporação do </w:t>
            </w:r>
            <w:proofErr w:type="spellStart"/>
            <w:r>
              <w:t>anifrolumabe</w:t>
            </w:r>
            <w:proofErr w:type="spellEnd"/>
            <w:r>
              <w:t xml:space="preserve"> amplia o acesso a um tratamento que atende a necessidades clínicas não supridas e melhora os desfechos da população proposta.</w:t>
            </w:r>
          </w:p>
        </w:tc>
        <w:tc>
          <w:tcPr>
            <w:tcW w:w="4500" w:type="dxa"/>
          </w:tcPr>
          <w:p w14:paraId="382C5011" w14:textId="77777777" w:rsidR="00817793" w:rsidRDefault="002719FC">
            <w:pPr>
              <w:spacing w:before="120" w:after="120"/>
            </w:pPr>
            <w:r>
              <w:t>Não há discussão sobre a generalização dos resultados ou sua integração com o conhecimento já existente.</w:t>
            </w:r>
          </w:p>
          <w:p w14:paraId="612981A4" w14:textId="77777777" w:rsidR="00817793" w:rsidRDefault="002719FC">
            <w:pPr>
              <w:spacing w:before="120" w:after="120"/>
            </w:pPr>
            <w:r>
              <w:t xml:space="preserve">A recomendação de incorporação de </w:t>
            </w:r>
            <w:proofErr w:type="spellStart"/>
            <w:r>
              <w:t>anifrolumabe</w:t>
            </w:r>
            <w:proofErr w:type="spellEnd"/>
            <w:r>
              <w:t>, justificada pelos achados e pelo argumento apresentado, se apoia em resultados com incertezas.</w:t>
            </w:r>
          </w:p>
        </w:tc>
      </w:tr>
    </w:tbl>
    <w:p w14:paraId="0C5B615A" w14:textId="77777777" w:rsidR="00817793" w:rsidRDefault="00817793"/>
    <w:p w14:paraId="792F1AA2" w14:textId="77777777" w:rsidR="00817793" w:rsidRDefault="00817793"/>
    <w:tbl>
      <w:tblPr>
        <w:tblStyle w:val="aff8"/>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45B001F8" w14:textId="77777777">
        <w:trPr>
          <w:trHeight w:val="416"/>
        </w:trPr>
        <w:tc>
          <w:tcPr>
            <w:tcW w:w="9072" w:type="dxa"/>
            <w:shd w:val="clear" w:color="auto" w:fill="D9E2F3"/>
            <w:vAlign w:val="center"/>
          </w:tcPr>
          <w:p w14:paraId="220F5216" w14:textId="77777777" w:rsidR="00817793" w:rsidRDefault="002719FC">
            <w:pPr>
              <w:spacing w:before="120" w:after="120" w:line="240" w:lineRule="auto"/>
              <w:jc w:val="center"/>
              <w:rPr>
                <w:b/>
              </w:rPr>
            </w:pPr>
            <w:r>
              <w:rPr>
                <w:b/>
              </w:rPr>
              <w:t>Comentários adicionais sobre a discussão e as conclusões apresentadas pelo proponente</w:t>
            </w:r>
          </w:p>
        </w:tc>
      </w:tr>
      <w:tr w:rsidR="00817793" w14:paraId="30E2F542" w14:textId="77777777">
        <w:trPr>
          <w:trHeight w:val="750"/>
        </w:trPr>
        <w:tc>
          <w:tcPr>
            <w:tcW w:w="9072" w:type="dxa"/>
            <w:vAlign w:val="center"/>
          </w:tcPr>
          <w:p w14:paraId="035DE9B6" w14:textId="507DDC0D" w:rsidR="00817793" w:rsidRDefault="002719FC">
            <w:pPr>
              <w:spacing w:before="120" w:after="120" w:line="240" w:lineRule="auto"/>
            </w:pPr>
            <w:r>
              <w:t xml:space="preserve">O proponente destaca os achados e pontos fortes da análise para justificar a incorporação do </w:t>
            </w:r>
            <w:proofErr w:type="spellStart"/>
            <w:r>
              <w:t>anifrolumabe</w:t>
            </w:r>
            <w:proofErr w:type="spellEnd"/>
            <w:r>
              <w:t xml:space="preserve"> na saúde suplementar, sem discutir as limitações e incertezas do estudo. O dossiê não aborda a generalização dos resultados nem sua integração com o conhecimento existente, e apoia a recomendação de incorporação de </w:t>
            </w:r>
            <w:proofErr w:type="spellStart"/>
            <w:r>
              <w:t>anifrolumabe</w:t>
            </w:r>
            <w:proofErr w:type="spellEnd"/>
            <w:r>
              <w:t xml:space="preserve"> em resultados com incertezas.</w:t>
            </w:r>
          </w:p>
        </w:tc>
      </w:tr>
    </w:tbl>
    <w:p w14:paraId="1A499DFC" w14:textId="77777777" w:rsidR="00817793" w:rsidRDefault="00817793"/>
    <w:p w14:paraId="1562D2C9" w14:textId="77777777" w:rsidR="00817793" w:rsidRDefault="002719FC">
      <w:pPr>
        <w:pStyle w:val="Ttulo2"/>
      </w:pPr>
      <w:bookmarkStart w:id="57" w:name="_147n2zr" w:colFirst="0" w:colLast="0"/>
      <w:bookmarkEnd w:id="57"/>
      <w:r>
        <w:t>6.4 Elementos pós-texto</w:t>
      </w:r>
    </w:p>
    <w:p w14:paraId="527EEA6F" w14:textId="77777777" w:rsidR="00817793" w:rsidRDefault="002719FC">
      <w:pPr>
        <w:pStyle w:val="Ttulo4"/>
      </w:pPr>
      <w:bookmarkStart w:id="58" w:name="_g9xi4hc5crz" w:colFirst="0" w:colLast="0"/>
      <w:bookmarkEnd w:id="58"/>
      <w:r>
        <w:rPr>
          <w:b/>
        </w:rPr>
        <w:t>Quadro 25.</w:t>
      </w:r>
      <w:r>
        <w:t xml:space="preserve"> Elementos pós-texto </w:t>
      </w:r>
    </w:p>
    <w:tbl>
      <w:tblPr>
        <w:tblStyle w:val="aff9"/>
        <w:tblW w:w="89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17793" w14:paraId="3D6DCB94" w14:textId="77777777">
        <w:trPr>
          <w:trHeight w:val="454"/>
          <w:jc w:val="center"/>
        </w:trPr>
        <w:tc>
          <w:tcPr>
            <w:tcW w:w="2046" w:type="dxa"/>
            <w:shd w:val="clear" w:color="auto" w:fill="D9E2F3"/>
          </w:tcPr>
          <w:p w14:paraId="1CD70346" w14:textId="77777777" w:rsidR="00817793" w:rsidRDefault="002719FC">
            <w:pPr>
              <w:spacing w:before="120" w:after="120" w:line="240" w:lineRule="auto"/>
              <w:jc w:val="center"/>
              <w:rPr>
                <w:b/>
              </w:rPr>
            </w:pPr>
            <w:r>
              <w:rPr>
                <w:b/>
              </w:rPr>
              <w:t>Critério</w:t>
            </w:r>
          </w:p>
        </w:tc>
        <w:tc>
          <w:tcPr>
            <w:tcW w:w="2976" w:type="dxa"/>
            <w:shd w:val="clear" w:color="auto" w:fill="D9E2F3"/>
          </w:tcPr>
          <w:p w14:paraId="315D5709" w14:textId="77777777" w:rsidR="00817793" w:rsidRDefault="002719FC">
            <w:pPr>
              <w:spacing w:before="120" w:after="120" w:line="240" w:lineRule="auto"/>
              <w:jc w:val="center"/>
              <w:rPr>
                <w:b/>
              </w:rPr>
            </w:pPr>
            <w:r>
              <w:rPr>
                <w:b/>
              </w:rPr>
              <w:t>Proponente</w:t>
            </w:r>
          </w:p>
        </w:tc>
        <w:tc>
          <w:tcPr>
            <w:tcW w:w="3885" w:type="dxa"/>
            <w:shd w:val="clear" w:color="auto" w:fill="D9E2F3"/>
          </w:tcPr>
          <w:p w14:paraId="5819EE87" w14:textId="77777777" w:rsidR="00817793" w:rsidRDefault="002719FC">
            <w:pPr>
              <w:spacing w:before="120" w:after="120" w:line="240" w:lineRule="auto"/>
              <w:jc w:val="center"/>
              <w:rPr>
                <w:b/>
              </w:rPr>
            </w:pPr>
            <w:r>
              <w:rPr>
                <w:b/>
              </w:rPr>
              <w:t>Análise da proposta</w:t>
            </w:r>
          </w:p>
        </w:tc>
      </w:tr>
      <w:tr w:rsidR="00817793" w14:paraId="60C389C2" w14:textId="77777777">
        <w:trPr>
          <w:trHeight w:val="454"/>
          <w:jc w:val="center"/>
        </w:trPr>
        <w:tc>
          <w:tcPr>
            <w:tcW w:w="2046" w:type="dxa"/>
            <w:shd w:val="clear" w:color="auto" w:fill="auto"/>
          </w:tcPr>
          <w:p w14:paraId="57849193" w14:textId="77777777" w:rsidR="00817793" w:rsidRDefault="002719FC">
            <w:pPr>
              <w:spacing w:before="120" w:after="120" w:line="240" w:lineRule="auto"/>
              <w:jc w:val="center"/>
              <w:rPr>
                <w:b/>
              </w:rPr>
            </w:pPr>
            <w:r>
              <w:rPr>
                <w:b/>
                <w:color w:val="000000"/>
              </w:rPr>
              <w:t>Declaração de conflito de interesse</w:t>
            </w:r>
          </w:p>
        </w:tc>
        <w:tc>
          <w:tcPr>
            <w:tcW w:w="2976" w:type="dxa"/>
            <w:shd w:val="clear" w:color="auto" w:fill="auto"/>
          </w:tcPr>
          <w:p w14:paraId="654326CA" w14:textId="77777777" w:rsidR="00817793" w:rsidRDefault="002719FC">
            <w:pPr>
              <w:spacing w:before="120" w:after="120" w:line="240" w:lineRule="auto"/>
            </w:pPr>
            <w:r>
              <w:t>Não se aplica</w:t>
            </w:r>
          </w:p>
        </w:tc>
        <w:tc>
          <w:tcPr>
            <w:tcW w:w="3885" w:type="dxa"/>
          </w:tcPr>
          <w:p w14:paraId="11E5B2A1" w14:textId="77777777" w:rsidR="00817793" w:rsidRDefault="002719FC">
            <w:pPr>
              <w:spacing w:before="120" w:after="120" w:line="240" w:lineRule="auto"/>
            </w:pPr>
            <w:r>
              <w:t>A declaração de conflitos de interesse é objeto de análise pela ANS devido à proteção de dados confidenciais. O parecerista não teve acesso ao documento.</w:t>
            </w:r>
          </w:p>
        </w:tc>
      </w:tr>
      <w:tr w:rsidR="00817793" w14:paraId="73F66E2C" w14:textId="77777777">
        <w:trPr>
          <w:trHeight w:val="454"/>
          <w:jc w:val="center"/>
        </w:trPr>
        <w:tc>
          <w:tcPr>
            <w:tcW w:w="2046" w:type="dxa"/>
            <w:shd w:val="clear" w:color="auto" w:fill="auto"/>
          </w:tcPr>
          <w:p w14:paraId="1C6364A3" w14:textId="77777777" w:rsidR="00817793" w:rsidRDefault="002719FC">
            <w:pPr>
              <w:spacing w:before="120" w:after="120" w:line="240" w:lineRule="auto"/>
              <w:jc w:val="center"/>
              <w:rPr>
                <w:b/>
              </w:rPr>
            </w:pPr>
            <w:r>
              <w:rPr>
                <w:b/>
                <w:color w:val="000000"/>
              </w:rPr>
              <w:t>Referências</w:t>
            </w:r>
          </w:p>
        </w:tc>
        <w:tc>
          <w:tcPr>
            <w:tcW w:w="2976" w:type="dxa"/>
            <w:shd w:val="clear" w:color="auto" w:fill="auto"/>
          </w:tcPr>
          <w:p w14:paraId="0824B129" w14:textId="77777777" w:rsidR="00817793" w:rsidRDefault="002719FC">
            <w:pPr>
              <w:spacing w:before="120" w:after="120" w:line="240" w:lineRule="auto"/>
            </w:pPr>
            <w:r>
              <w:t>Parcialmente adequada</w:t>
            </w:r>
          </w:p>
        </w:tc>
        <w:tc>
          <w:tcPr>
            <w:tcW w:w="3885" w:type="dxa"/>
          </w:tcPr>
          <w:p w14:paraId="22A4F7A1" w14:textId="77777777" w:rsidR="00817793" w:rsidRDefault="002719FC">
            <w:pPr>
              <w:spacing w:before="120" w:after="120" w:line="240" w:lineRule="auto"/>
            </w:pPr>
            <w:r>
              <w:t xml:space="preserve">A porcentagem de pacientes em LLDAS, a cada ciclo, está devidamente descrita na planilha, porém não corresponde aos dados dos estudos referenciados no dossiê. A ausência da referência a esses dados configura uma limitação </w:t>
            </w:r>
            <w:r>
              <w:lastRenderedPageBreak/>
              <w:t>importante em virtude da relevância desse parâmetro para a análise.</w:t>
            </w:r>
          </w:p>
        </w:tc>
      </w:tr>
    </w:tbl>
    <w:p w14:paraId="5E7E3C41" w14:textId="77777777" w:rsidR="00817793" w:rsidRDefault="00817793"/>
    <w:tbl>
      <w:tblPr>
        <w:tblStyle w:val="affa"/>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4F5143A6" w14:textId="77777777">
        <w:trPr>
          <w:trHeight w:val="416"/>
        </w:trPr>
        <w:tc>
          <w:tcPr>
            <w:tcW w:w="9072" w:type="dxa"/>
            <w:shd w:val="clear" w:color="auto" w:fill="D9E2F3"/>
            <w:vAlign w:val="center"/>
          </w:tcPr>
          <w:p w14:paraId="4A19C2DE" w14:textId="77777777" w:rsidR="00817793" w:rsidRDefault="002719FC">
            <w:pPr>
              <w:spacing w:before="120" w:after="120" w:line="240" w:lineRule="auto"/>
              <w:jc w:val="center"/>
              <w:rPr>
                <w:b/>
              </w:rPr>
            </w:pPr>
            <w:r>
              <w:rPr>
                <w:b/>
              </w:rPr>
              <w:t>Comentários adicionais sobre os elementos pós-texto apresentados pelo proponente</w:t>
            </w:r>
          </w:p>
        </w:tc>
      </w:tr>
      <w:tr w:rsidR="00817793" w14:paraId="1F2B2472" w14:textId="77777777">
        <w:trPr>
          <w:trHeight w:val="750"/>
        </w:trPr>
        <w:tc>
          <w:tcPr>
            <w:tcW w:w="9072" w:type="dxa"/>
            <w:vAlign w:val="center"/>
          </w:tcPr>
          <w:p w14:paraId="050A8A89" w14:textId="77777777" w:rsidR="00817793" w:rsidRDefault="002719FC">
            <w:pPr>
              <w:spacing w:before="120" w:after="120" w:line="240" w:lineRule="auto"/>
            </w:pPr>
            <w:r>
              <w:t>A porcentagem de pacientes em LLDAS é descrita na planilha, mas diverge dos estudos referenciados no dossiê, representando uma limitação relevante em virtude da importância desse parâmetro para a análise.</w:t>
            </w:r>
          </w:p>
        </w:tc>
      </w:tr>
    </w:tbl>
    <w:p w14:paraId="47CB00D5" w14:textId="77777777" w:rsidR="00817793" w:rsidRDefault="002719FC">
      <w:r>
        <w:t xml:space="preserve">O </w:t>
      </w:r>
      <w:r>
        <w:rPr>
          <w:i/>
        </w:rPr>
        <w:t xml:space="preserve">checklist </w:t>
      </w:r>
      <w:r>
        <w:t xml:space="preserve">de análise crítica da avaliação econômica da tecnologia em saúde correspondente e utilizado no processo de atualização do Rol está apresentado no </w:t>
      </w:r>
      <w:r>
        <w:rPr>
          <w:b/>
        </w:rPr>
        <w:t>Anexo 1</w:t>
      </w:r>
      <w:r>
        <w:t>.</w:t>
      </w:r>
    </w:p>
    <w:p w14:paraId="5A9F5751" w14:textId="77777777" w:rsidR="00817793" w:rsidRDefault="002719FC">
      <w:pPr>
        <w:pStyle w:val="Ttulo1"/>
      </w:pPr>
      <w:bookmarkStart w:id="59" w:name="_3o7alnk" w:colFirst="0" w:colLast="0"/>
      <w:bookmarkEnd w:id="59"/>
      <w:r>
        <w:t>7. ANÁLISE DE IMPACTO ORÇAMENTÁRIO</w:t>
      </w:r>
    </w:p>
    <w:p w14:paraId="60D41C5B" w14:textId="77777777" w:rsidR="00817793" w:rsidRDefault="002719FC">
      <w:bookmarkStart w:id="60" w:name="_23ckvvd" w:colFirst="0" w:colLast="0"/>
      <w:bookmarkEnd w:id="60"/>
      <w:r>
        <w:t xml:space="preserve">A análise de impacto orçamentário (AIO) foi avaliada a partir de elementos contidos no roteiro elaborado pela equipe técnica da ANS e considerando as Diretrizes Metodológicas publicadas pelo Ministério da Saúde para a elaboração de análises de impacto orçamentário </w:t>
      </w:r>
      <w:r>
        <w:rPr>
          <w:vertAlign w:val="superscript"/>
        </w:rPr>
        <w:t xml:space="preserve">3 </w:t>
      </w:r>
      <w:r>
        <w:t xml:space="preserve">e adaptadas para o contexto da saúde suplementar. </w:t>
      </w:r>
    </w:p>
    <w:p w14:paraId="03F828E4" w14:textId="77777777" w:rsidR="00817793" w:rsidRDefault="00817793"/>
    <w:p w14:paraId="59C07F4C" w14:textId="77777777" w:rsidR="00817793" w:rsidRDefault="002719FC">
      <w:pPr>
        <w:pStyle w:val="Ttulo2"/>
      </w:pPr>
      <w:bookmarkStart w:id="61" w:name="_ihv636" w:colFirst="0" w:colLast="0"/>
      <w:bookmarkEnd w:id="61"/>
      <w:r>
        <w:t xml:space="preserve">7.1 Métodos </w:t>
      </w:r>
    </w:p>
    <w:p w14:paraId="3EFE0E9A" w14:textId="77777777" w:rsidR="00817793" w:rsidRDefault="002719FC">
      <w:pPr>
        <w:pStyle w:val="Ttulo4"/>
      </w:pPr>
      <w:bookmarkStart w:id="62" w:name="_kp7hiachx3mu" w:colFirst="0" w:colLast="0"/>
      <w:bookmarkEnd w:id="62"/>
      <w:r>
        <w:rPr>
          <w:b/>
        </w:rPr>
        <w:t>Quadro 26</w:t>
      </w:r>
      <w:r>
        <w:t>. Principais parâmetros da AIO (versão do PROPONENTE e do PARECERISTA)</w:t>
      </w:r>
    </w:p>
    <w:tbl>
      <w:tblPr>
        <w:tblStyle w:val="affb"/>
        <w:tblW w:w="91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5"/>
        <w:gridCol w:w="2475"/>
        <w:gridCol w:w="2190"/>
        <w:gridCol w:w="2730"/>
      </w:tblGrid>
      <w:tr w:rsidR="00817793" w14:paraId="59FBE617" w14:textId="77777777">
        <w:trPr>
          <w:trHeight w:val="454"/>
          <w:jc w:val="center"/>
        </w:trPr>
        <w:tc>
          <w:tcPr>
            <w:tcW w:w="1755" w:type="dxa"/>
            <w:shd w:val="clear" w:color="auto" w:fill="D9E2F3"/>
            <w:vAlign w:val="center"/>
          </w:tcPr>
          <w:p w14:paraId="75E9F36D" w14:textId="77777777" w:rsidR="00817793" w:rsidRDefault="002719FC">
            <w:pPr>
              <w:spacing w:before="120" w:after="120" w:line="240" w:lineRule="auto"/>
              <w:jc w:val="center"/>
              <w:rPr>
                <w:b/>
              </w:rPr>
            </w:pPr>
            <w:r>
              <w:rPr>
                <w:b/>
              </w:rPr>
              <w:t>Parâmetros</w:t>
            </w:r>
          </w:p>
        </w:tc>
        <w:tc>
          <w:tcPr>
            <w:tcW w:w="2475" w:type="dxa"/>
            <w:shd w:val="clear" w:color="auto" w:fill="D9E2F3"/>
            <w:vAlign w:val="center"/>
          </w:tcPr>
          <w:p w14:paraId="641B38D2" w14:textId="77777777" w:rsidR="00817793" w:rsidRDefault="002719FC">
            <w:pPr>
              <w:spacing w:before="120" w:after="120" w:line="240" w:lineRule="auto"/>
              <w:jc w:val="center"/>
              <w:rPr>
                <w:b/>
              </w:rPr>
            </w:pPr>
            <w:r>
              <w:rPr>
                <w:b/>
              </w:rPr>
              <w:t>Proponente</w:t>
            </w:r>
          </w:p>
        </w:tc>
        <w:tc>
          <w:tcPr>
            <w:tcW w:w="2190" w:type="dxa"/>
            <w:shd w:val="clear" w:color="auto" w:fill="D9E2F3"/>
            <w:vAlign w:val="center"/>
          </w:tcPr>
          <w:p w14:paraId="0847FBB3" w14:textId="77777777" w:rsidR="00817793" w:rsidRDefault="002719FC">
            <w:pPr>
              <w:spacing w:before="120" w:after="120" w:line="240" w:lineRule="auto"/>
              <w:jc w:val="center"/>
              <w:rPr>
                <w:b/>
              </w:rPr>
            </w:pPr>
            <w:r>
              <w:rPr>
                <w:b/>
              </w:rPr>
              <w:t>Análise da proposta</w:t>
            </w:r>
          </w:p>
        </w:tc>
        <w:tc>
          <w:tcPr>
            <w:tcW w:w="2730" w:type="dxa"/>
            <w:shd w:val="clear" w:color="auto" w:fill="D9E2F3"/>
            <w:vAlign w:val="center"/>
          </w:tcPr>
          <w:p w14:paraId="356FBA1F" w14:textId="77777777" w:rsidR="00817793" w:rsidRDefault="002719FC">
            <w:pPr>
              <w:spacing w:before="120" w:after="120" w:line="240" w:lineRule="auto"/>
              <w:jc w:val="center"/>
              <w:rPr>
                <w:b/>
              </w:rPr>
            </w:pPr>
            <w:r>
              <w:rPr>
                <w:b/>
              </w:rPr>
              <w:t>Parecerista</w:t>
            </w:r>
          </w:p>
        </w:tc>
      </w:tr>
      <w:tr w:rsidR="00817793" w14:paraId="4E1A7CE3" w14:textId="77777777">
        <w:trPr>
          <w:trHeight w:val="454"/>
          <w:jc w:val="center"/>
        </w:trPr>
        <w:tc>
          <w:tcPr>
            <w:tcW w:w="9150" w:type="dxa"/>
            <w:gridSpan w:val="4"/>
            <w:shd w:val="clear" w:color="auto" w:fill="auto"/>
            <w:vAlign w:val="center"/>
          </w:tcPr>
          <w:p w14:paraId="6B0CE1F7" w14:textId="77777777" w:rsidR="00817793" w:rsidRDefault="002719FC">
            <w:pPr>
              <w:spacing w:before="120" w:after="120" w:line="240" w:lineRule="auto"/>
              <w:jc w:val="center"/>
              <w:rPr>
                <w:i/>
                <w:highlight w:val="lightGray"/>
              </w:rPr>
            </w:pPr>
            <w:r>
              <w:rPr>
                <w:i/>
              </w:rPr>
              <w:t>Informações Gerais</w:t>
            </w:r>
          </w:p>
        </w:tc>
      </w:tr>
      <w:tr w:rsidR="00817793" w14:paraId="7BF02781" w14:textId="77777777">
        <w:trPr>
          <w:trHeight w:val="454"/>
          <w:jc w:val="center"/>
        </w:trPr>
        <w:tc>
          <w:tcPr>
            <w:tcW w:w="1755" w:type="dxa"/>
            <w:shd w:val="clear" w:color="auto" w:fill="auto"/>
            <w:vAlign w:val="center"/>
          </w:tcPr>
          <w:p w14:paraId="43CEEF38" w14:textId="77777777" w:rsidR="00817793" w:rsidRDefault="002719FC">
            <w:pPr>
              <w:spacing w:before="120" w:after="120" w:line="240" w:lineRule="auto"/>
              <w:jc w:val="center"/>
              <w:rPr>
                <w:b/>
              </w:rPr>
            </w:pPr>
            <w:r>
              <w:rPr>
                <w:b/>
              </w:rPr>
              <w:t>Software utilizado</w:t>
            </w:r>
          </w:p>
        </w:tc>
        <w:tc>
          <w:tcPr>
            <w:tcW w:w="2475" w:type="dxa"/>
            <w:shd w:val="clear" w:color="auto" w:fill="auto"/>
            <w:vAlign w:val="center"/>
          </w:tcPr>
          <w:p w14:paraId="20321012" w14:textId="77777777" w:rsidR="00817793" w:rsidRDefault="002719FC">
            <w:pPr>
              <w:spacing w:before="120" w:after="120" w:line="240" w:lineRule="auto"/>
              <w:jc w:val="center"/>
            </w:pPr>
            <w:r>
              <w:t>Microsoft Excel®</w:t>
            </w:r>
          </w:p>
        </w:tc>
        <w:tc>
          <w:tcPr>
            <w:tcW w:w="2190" w:type="dxa"/>
            <w:vAlign w:val="center"/>
          </w:tcPr>
          <w:p w14:paraId="20A53714" w14:textId="77777777" w:rsidR="00817793" w:rsidRDefault="002719FC">
            <w:pPr>
              <w:spacing w:before="120" w:after="120" w:line="240" w:lineRule="auto"/>
              <w:jc w:val="center"/>
            </w:pPr>
            <w:r>
              <w:t>Adequado</w:t>
            </w:r>
          </w:p>
        </w:tc>
        <w:tc>
          <w:tcPr>
            <w:tcW w:w="2730" w:type="dxa"/>
            <w:vAlign w:val="center"/>
          </w:tcPr>
          <w:p w14:paraId="5E161267" w14:textId="77777777" w:rsidR="00817793" w:rsidRDefault="002719FC">
            <w:pPr>
              <w:spacing w:before="120" w:after="120" w:line="240" w:lineRule="auto"/>
              <w:jc w:val="center"/>
            </w:pPr>
            <w:r>
              <w:t>Microsoft Excel®</w:t>
            </w:r>
          </w:p>
        </w:tc>
      </w:tr>
      <w:tr w:rsidR="00817793" w14:paraId="599D317B" w14:textId="77777777">
        <w:trPr>
          <w:trHeight w:val="454"/>
          <w:jc w:val="center"/>
        </w:trPr>
        <w:tc>
          <w:tcPr>
            <w:tcW w:w="1755" w:type="dxa"/>
            <w:shd w:val="clear" w:color="auto" w:fill="auto"/>
            <w:vAlign w:val="center"/>
          </w:tcPr>
          <w:p w14:paraId="14635947" w14:textId="77777777" w:rsidR="00817793" w:rsidRDefault="002719FC">
            <w:pPr>
              <w:spacing w:before="120" w:after="120" w:line="240" w:lineRule="auto"/>
              <w:jc w:val="center"/>
              <w:rPr>
                <w:b/>
              </w:rPr>
            </w:pPr>
            <w:r>
              <w:rPr>
                <w:b/>
              </w:rPr>
              <w:t>Modelo</w:t>
            </w:r>
          </w:p>
        </w:tc>
        <w:tc>
          <w:tcPr>
            <w:tcW w:w="2475" w:type="dxa"/>
            <w:shd w:val="clear" w:color="auto" w:fill="auto"/>
            <w:vAlign w:val="center"/>
          </w:tcPr>
          <w:p w14:paraId="52BC8670" w14:textId="77777777" w:rsidR="00817793" w:rsidRDefault="002719FC">
            <w:pPr>
              <w:spacing w:before="120" w:after="120" w:line="240" w:lineRule="auto"/>
              <w:jc w:val="center"/>
            </w:pPr>
            <w:r>
              <w:t>Dinâmico</w:t>
            </w:r>
          </w:p>
          <w:p w14:paraId="2AC57CB0" w14:textId="77777777" w:rsidR="00817793" w:rsidRDefault="00817793">
            <w:pPr>
              <w:spacing w:before="120" w:after="120" w:line="240" w:lineRule="auto"/>
              <w:jc w:val="center"/>
            </w:pPr>
          </w:p>
          <w:p w14:paraId="2A815AB0" w14:textId="77777777" w:rsidR="00817793" w:rsidRDefault="002719FC">
            <w:pPr>
              <w:spacing w:before="120" w:after="120" w:line="240" w:lineRule="auto"/>
              <w:jc w:val="center"/>
            </w:pPr>
            <w:r>
              <w:t xml:space="preserve">Dados do modelo de custo-efetividade relacionados aos </w:t>
            </w:r>
            <w:r>
              <w:lastRenderedPageBreak/>
              <w:t xml:space="preserve">critérios de descontinuação conforme resposta ao tratamento foram utilizados para determinar o número de pacientes em uso de </w:t>
            </w:r>
            <w:proofErr w:type="spellStart"/>
            <w:r>
              <w:t>anifrolumabe</w:t>
            </w:r>
            <w:proofErr w:type="spellEnd"/>
            <w:r>
              <w:t xml:space="preserve"> do primeiro ao quinto ano após o início. Além disso, os dados sobre o número de exacerbações e de eventos de lesão de órgãos-alvo com </w:t>
            </w:r>
            <w:proofErr w:type="spellStart"/>
            <w:r>
              <w:t>anifrolumabe</w:t>
            </w:r>
            <w:proofErr w:type="spellEnd"/>
            <w:r>
              <w:t xml:space="preserve"> e tratamento padrão também foram extraídos do modelo de custo-efetividade.</w:t>
            </w:r>
          </w:p>
        </w:tc>
        <w:tc>
          <w:tcPr>
            <w:tcW w:w="2190" w:type="dxa"/>
            <w:vAlign w:val="center"/>
          </w:tcPr>
          <w:p w14:paraId="7E88B33A" w14:textId="77777777" w:rsidR="00817793" w:rsidRDefault="002719FC">
            <w:pPr>
              <w:spacing w:before="120" w:after="120" w:line="240" w:lineRule="auto"/>
              <w:jc w:val="center"/>
            </w:pPr>
            <w:r>
              <w:lastRenderedPageBreak/>
              <w:t>Adequado</w:t>
            </w:r>
          </w:p>
        </w:tc>
        <w:tc>
          <w:tcPr>
            <w:tcW w:w="2730" w:type="dxa"/>
            <w:vAlign w:val="center"/>
          </w:tcPr>
          <w:p w14:paraId="6F746BCA" w14:textId="77777777" w:rsidR="00817793" w:rsidRDefault="002719FC">
            <w:pPr>
              <w:spacing w:before="120" w:after="120" w:line="240" w:lineRule="auto"/>
              <w:jc w:val="center"/>
            </w:pPr>
            <w:r>
              <w:t>Estático</w:t>
            </w:r>
          </w:p>
        </w:tc>
      </w:tr>
      <w:tr w:rsidR="00817793" w14:paraId="5F5482E6" w14:textId="77777777">
        <w:trPr>
          <w:trHeight w:val="454"/>
          <w:jc w:val="center"/>
        </w:trPr>
        <w:tc>
          <w:tcPr>
            <w:tcW w:w="1755" w:type="dxa"/>
            <w:shd w:val="clear" w:color="auto" w:fill="auto"/>
            <w:vAlign w:val="center"/>
          </w:tcPr>
          <w:p w14:paraId="7B8B852B" w14:textId="77777777" w:rsidR="00817793" w:rsidRDefault="002719FC">
            <w:pPr>
              <w:spacing w:before="120" w:after="120" w:line="240" w:lineRule="auto"/>
              <w:jc w:val="center"/>
              <w:rPr>
                <w:b/>
              </w:rPr>
            </w:pPr>
            <w:r>
              <w:rPr>
                <w:b/>
              </w:rPr>
              <w:t>Perspectiva</w:t>
            </w:r>
          </w:p>
        </w:tc>
        <w:tc>
          <w:tcPr>
            <w:tcW w:w="2475" w:type="dxa"/>
            <w:shd w:val="clear" w:color="auto" w:fill="auto"/>
            <w:vAlign w:val="center"/>
          </w:tcPr>
          <w:p w14:paraId="69A2C565" w14:textId="77777777" w:rsidR="00817793" w:rsidRDefault="002719FC">
            <w:pPr>
              <w:spacing w:before="120" w:after="120" w:line="240" w:lineRule="auto"/>
              <w:jc w:val="center"/>
            </w:pPr>
            <w:r>
              <w:t>Saúde suplementar</w:t>
            </w:r>
          </w:p>
        </w:tc>
        <w:tc>
          <w:tcPr>
            <w:tcW w:w="2190" w:type="dxa"/>
            <w:vAlign w:val="center"/>
          </w:tcPr>
          <w:p w14:paraId="25BD4901" w14:textId="77777777" w:rsidR="00817793" w:rsidRDefault="002719FC">
            <w:pPr>
              <w:spacing w:before="120" w:after="120" w:line="240" w:lineRule="auto"/>
              <w:jc w:val="center"/>
            </w:pPr>
            <w:r>
              <w:t>Adequado</w:t>
            </w:r>
          </w:p>
        </w:tc>
        <w:tc>
          <w:tcPr>
            <w:tcW w:w="2730" w:type="dxa"/>
            <w:vAlign w:val="center"/>
          </w:tcPr>
          <w:p w14:paraId="51A9721C" w14:textId="77777777" w:rsidR="00817793" w:rsidRDefault="002719FC">
            <w:pPr>
              <w:spacing w:before="120" w:after="120" w:line="240" w:lineRule="auto"/>
              <w:jc w:val="center"/>
            </w:pPr>
            <w:r>
              <w:t>Saúde suplementar</w:t>
            </w:r>
          </w:p>
        </w:tc>
      </w:tr>
      <w:tr w:rsidR="00817793" w14:paraId="786B1547" w14:textId="77777777">
        <w:trPr>
          <w:trHeight w:val="454"/>
          <w:jc w:val="center"/>
        </w:trPr>
        <w:tc>
          <w:tcPr>
            <w:tcW w:w="1755" w:type="dxa"/>
            <w:shd w:val="clear" w:color="auto" w:fill="auto"/>
            <w:vAlign w:val="center"/>
          </w:tcPr>
          <w:p w14:paraId="446747C4" w14:textId="77777777" w:rsidR="00817793" w:rsidRDefault="002719FC">
            <w:pPr>
              <w:spacing w:before="120" w:after="120" w:line="240" w:lineRule="auto"/>
              <w:jc w:val="center"/>
              <w:rPr>
                <w:b/>
              </w:rPr>
            </w:pPr>
            <w:r>
              <w:rPr>
                <w:b/>
              </w:rPr>
              <w:t>Horizonte temporal</w:t>
            </w:r>
          </w:p>
        </w:tc>
        <w:tc>
          <w:tcPr>
            <w:tcW w:w="2475" w:type="dxa"/>
            <w:shd w:val="clear" w:color="auto" w:fill="auto"/>
            <w:vAlign w:val="center"/>
          </w:tcPr>
          <w:p w14:paraId="65C79D84" w14:textId="77777777" w:rsidR="00817793" w:rsidRDefault="002719FC">
            <w:pPr>
              <w:spacing w:before="120" w:after="120" w:line="240" w:lineRule="auto"/>
              <w:jc w:val="center"/>
            </w:pPr>
            <w:r>
              <w:t>5 anos</w:t>
            </w:r>
          </w:p>
        </w:tc>
        <w:tc>
          <w:tcPr>
            <w:tcW w:w="2190" w:type="dxa"/>
            <w:vAlign w:val="center"/>
          </w:tcPr>
          <w:p w14:paraId="4C4257FB" w14:textId="77777777" w:rsidR="00817793" w:rsidRDefault="002719FC">
            <w:pPr>
              <w:spacing w:before="120" w:after="120" w:line="240" w:lineRule="auto"/>
              <w:jc w:val="center"/>
              <w:rPr>
                <w:i/>
                <w:color w:val="FF0000"/>
              </w:rPr>
            </w:pPr>
            <w:r>
              <w:t>Adequado</w:t>
            </w:r>
          </w:p>
        </w:tc>
        <w:tc>
          <w:tcPr>
            <w:tcW w:w="2730" w:type="dxa"/>
            <w:vAlign w:val="center"/>
          </w:tcPr>
          <w:p w14:paraId="2A20CCA6" w14:textId="77777777" w:rsidR="00817793" w:rsidRDefault="002719FC">
            <w:pPr>
              <w:spacing w:before="120" w:after="120" w:line="240" w:lineRule="auto"/>
              <w:jc w:val="center"/>
            </w:pPr>
            <w:r>
              <w:t>5 anos</w:t>
            </w:r>
          </w:p>
        </w:tc>
      </w:tr>
      <w:tr w:rsidR="00817793" w14:paraId="6656914F" w14:textId="77777777">
        <w:trPr>
          <w:trHeight w:val="454"/>
          <w:jc w:val="center"/>
        </w:trPr>
        <w:tc>
          <w:tcPr>
            <w:tcW w:w="9150" w:type="dxa"/>
            <w:gridSpan w:val="4"/>
            <w:shd w:val="clear" w:color="auto" w:fill="auto"/>
            <w:vAlign w:val="center"/>
          </w:tcPr>
          <w:p w14:paraId="629B287A" w14:textId="77777777" w:rsidR="00817793" w:rsidRDefault="002719FC">
            <w:pPr>
              <w:spacing w:before="120" w:after="120" w:line="240" w:lineRule="auto"/>
              <w:jc w:val="center"/>
              <w:rPr>
                <w:i/>
                <w:highlight w:val="lightGray"/>
              </w:rPr>
            </w:pPr>
            <w:r>
              <w:rPr>
                <w:i/>
              </w:rPr>
              <w:t>Tecnologia e comparadores</w:t>
            </w:r>
          </w:p>
        </w:tc>
      </w:tr>
      <w:tr w:rsidR="00817793" w14:paraId="262583C2" w14:textId="77777777">
        <w:trPr>
          <w:trHeight w:val="454"/>
          <w:jc w:val="center"/>
        </w:trPr>
        <w:tc>
          <w:tcPr>
            <w:tcW w:w="1755" w:type="dxa"/>
            <w:shd w:val="clear" w:color="auto" w:fill="auto"/>
            <w:vAlign w:val="center"/>
          </w:tcPr>
          <w:p w14:paraId="48C51FB5" w14:textId="77777777" w:rsidR="00817793" w:rsidRDefault="002719FC">
            <w:pPr>
              <w:spacing w:before="120" w:after="120" w:line="240" w:lineRule="auto"/>
              <w:jc w:val="center"/>
              <w:rPr>
                <w:b/>
              </w:rPr>
            </w:pPr>
            <w:r>
              <w:rPr>
                <w:b/>
              </w:rPr>
              <w:t>Tecnologia</w:t>
            </w:r>
          </w:p>
        </w:tc>
        <w:tc>
          <w:tcPr>
            <w:tcW w:w="2475" w:type="dxa"/>
            <w:shd w:val="clear" w:color="auto" w:fill="auto"/>
            <w:vAlign w:val="center"/>
          </w:tcPr>
          <w:p w14:paraId="4FA6C9F2" w14:textId="77777777" w:rsidR="00817793" w:rsidRDefault="002719FC">
            <w:pPr>
              <w:spacing w:before="120" w:after="120" w:line="240" w:lineRule="auto"/>
              <w:jc w:val="center"/>
            </w:pPr>
            <w:proofErr w:type="spellStart"/>
            <w:r>
              <w:t>Anifrolumabe</w:t>
            </w:r>
            <w:proofErr w:type="spellEnd"/>
            <w:r>
              <w:t xml:space="preserve"> 300 mg + tratamento padrão, com interrupção do tratamento com </w:t>
            </w:r>
            <w:proofErr w:type="spellStart"/>
            <w:r>
              <w:t>anifrolumabe</w:t>
            </w:r>
            <w:proofErr w:type="spellEnd"/>
            <w:r>
              <w:t xml:space="preserve"> em pacientes com LES que não atingirem o estado de baixa atividade da doença (LLDAS) após 24 semanas.</w:t>
            </w:r>
          </w:p>
        </w:tc>
        <w:tc>
          <w:tcPr>
            <w:tcW w:w="2190" w:type="dxa"/>
            <w:vAlign w:val="center"/>
          </w:tcPr>
          <w:p w14:paraId="284621E4" w14:textId="77777777" w:rsidR="00817793" w:rsidRDefault="002719FC">
            <w:pPr>
              <w:spacing w:before="120" w:after="120" w:line="240" w:lineRule="auto"/>
              <w:jc w:val="center"/>
              <w:rPr>
                <w:i/>
                <w:color w:val="FF0000"/>
              </w:rPr>
            </w:pPr>
            <w:r>
              <w:t>Adequado</w:t>
            </w:r>
          </w:p>
        </w:tc>
        <w:tc>
          <w:tcPr>
            <w:tcW w:w="2730" w:type="dxa"/>
            <w:vAlign w:val="center"/>
          </w:tcPr>
          <w:p w14:paraId="3E29AB26" w14:textId="77777777" w:rsidR="00817793" w:rsidRDefault="002719FC">
            <w:pPr>
              <w:spacing w:before="120" w:after="120" w:line="240" w:lineRule="auto"/>
              <w:jc w:val="center"/>
            </w:pPr>
            <w:r>
              <w:t>Idem</w:t>
            </w:r>
          </w:p>
        </w:tc>
      </w:tr>
      <w:tr w:rsidR="00817793" w14:paraId="500B398D" w14:textId="77777777">
        <w:trPr>
          <w:trHeight w:val="454"/>
          <w:jc w:val="center"/>
        </w:trPr>
        <w:tc>
          <w:tcPr>
            <w:tcW w:w="1755" w:type="dxa"/>
            <w:shd w:val="clear" w:color="auto" w:fill="auto"/>
            <w:vAlign w:val="center"/>
          </w:tcPr>
          <w:p w14:paraId="078DAE98" w14:textId="77777777" w:rsidR="00817793" w:rsidRDefault="002719FC">
            <w:pPr>
              <w:spacing w:before="120" w:after="120" w:line="240" w:lineRule="auto"/>
              <w:jc w:val="center"/>
              <w:rPr>
                <w:b/>
              </w:rPr>
            </w:pPr>
            <w:r>
              <w:rPr>
                <w:b/>
              </w:rPr>
              <w:t>Comparador</w:t>
            </w:r>
          </w:p>
        </w:tc>
        <w:tc>
          <w:tcPr>
            <w:tcW w:w="2475" w:type="dxa"/>
            <w:shd w:val="clear" w:color="auto" w:fill="auto"/>
            <w:vAlign w:val="center"/>
          </w:tcPr>
          <w:p w14:paraId="0AA8866D" w14:textId="77777777" w:rsidR="00817793" w:rsidRDefault="002719FC">
            <w:pPr>
              <w:spacing w:before="120" w:after="120" w:line="240" w:lineRule="auto"/>
              <w:jc w:val="center"/>
              <w:rPr>
                <w:highlight w:val="lightGray"/>
              </w:rPr>
            </w:pPr>
            <w:r>
              <w:t>Tratamento padrão - hidroxicloroquina (em todos os pacientes) associada a imunossupressor (</w:t>
            </w:r>
            <w:proofErr w:type="spellStart"/>
            <w:r>
              <w:t>micofenolato</w:t>
            </w:r>
            <w:proofErr w:type="spellEnd"/>
            <w:r>
              <w:t xml:space="preserve">, metotrexato, </w:t>
            </w:r>
            <w:r>
              <w:lastRenderedPageBreak/>
              <w:t xml:space="preserve">ciclofosfamida ou </w:t>
            </w:r>
            <w:proofErr w:type="spellStart"/>
            <w:r>
              <w:t>azatioprina</w:t>
            </w:r>
            <w:proofErr w:type="spellEnd"/>
            <w:r>
              <w:t>)</w:t>
            </w:r>
          </w:p>
        </w:tc>
        <w:tc>
          <w:tcPr>
            <w:tcW w:w="2190" w:type="dxa"/>
            <w:vAlign w:val="center"/>
          </w:tcPr>
          <w:p w14:paraId="6DD94200" w14:textId="77777777" w:rsidR="00817793" w:rsidRDefault="002719FC">
            <w:pPr>
              <w:spacing w:before="120" w:after="120" w:line="240" w:lineRule="auto"/>
              <w:jc w:val="center"/>
              <w:rPr>
                <w:i/>
                <w:color w:val="FF0000"/>
              </w:rPr>
            </w:pPr>
            <w:r>
              <w:lastRenderedPageBreak/>
              <w:t>Adequado</w:t>
            </w:r>
          </w:p>
        </w:tc>
        <w:tc>
          <w:tcPr>
            <w:tcW w:w="2730" w:type="dxa"/>
            <w:vAlign w:val="center"/>
          </w:tcPr>
          <w:p w14:paraId="177A98FA" w14:textId="77777777" w:rsidR="00817793" w:rsidRDefault="002719FC">
            <w:pPr>
              <w:spacing w:before="120" w:after="120" w:line="240" w:lineRule="auto"/>
              <w:jc w:val="center"/>
            </w:pPr>
            <w:r>
              <w:t>Idem</w:t>
            </w:r>
          </w:p>
        </w:tc>
      </w:tr>
      <w:tr w:rsidR="00817793" w14:paraId="3B0E938C" w14:textId="77777777">
        <w:trPr>
          <w:trHeight w:val="454"/>
          <w:jc w:val="center"/>
        </w:trPr>
        <w:tc>
          <w:tcPr>
            <w:tcW w:w="1755" w:type="dxa"/>
            <w:shd w:val="clear" w:color="auto" w:fill="auto"/>
            <w:vAlign w:val="center"/>
          </w:tcPr>
          <w:p w14:paraId="2C9149B3" w14:textId="77777777" w:rsidR="00817793" w:rsidRDefault="002719FC">
            <w:pPr>
              <w:spacing w:before="120" w:after="120" w:line="240" w:lineRule="auto"/>
              <w:jc w:val="center"/>
              <w:rPr>
                <w:b/>
              </w:rPr>
            </w:pPr>
            <w:r>
              <w:rPr>
                <w:b/>
              </w:rPr>
              <w:t>Cenários</w:t>
            </w:r>
          </w:p>
        </w:tc>
        <w:tc>
          <w:tcPr>
            <w:tcW w:w="2475" w:type="dxa"/>
            <w:shd w:val="clear" w:color="auto" w:fill="auto"/>
            <w:vAlign w:val="center"/>
          </w:tcPr>
          <w:p w14:paraId="3D4D8808" w14:textId="77777777" w:rsidR="00817793" w:rsidRDefault="002719FC">
            <w:pPr>
              <w:spacing w:before="120" w:after="120" w:line="240" w:lineRule="auto"/>
            </w:pPr>
            <w:r>
              <w:t xml:space="preserve">Foram considerados, além do 1) cenário referência (atual, sem o </w:t>
            </w:r>
            <w:proofErr w:type="spellStart"/>
            <w:r>
              <w:t>anifrolumabe</w:t>
            </w:r>
            <w:proofErr w:type="spellEnd"/>
            <w:r>
              <w:t xml:space="preserve">), os cenários projetados (pós incorporação): </w:t>
            </w:r>
          </w:p>
          <w:p w14:paraId="154D52E5" w14:textId="77777777" w:rsidR="00817793" w:rsidRDefault="002719FC">
            <w:pPr>
              <w:spacing w:before="120" w:after="120" w:line="240" w:lineRule="auto"/>
            </w:pPr>
            <w:r>
              <w:t>2) incorporação lenta (taxa inicial de 25%, com aumento anual de 5%)</w:t>
            </w:r>
          </w:p>
          <w:p w14:paraId="52857C9F" w14:textId="77777777" w:rsidR="00817793" w:rsidRDefault="002719FC">
            <w:pPr>
              <w:spacing w:before="120" w:after="120" w:line="240" w:lineRule="auto"/>
            </w:pPr>
            <w:r>
              <w:t>3) incorporação rápida (taxa inicial de 40%, com aumento anual de 10%)</w:t>
            </w:r>
          </w:p>
          <w:p w14:paraId="00FF42E7" w14:textId="77777777" w:rsidR="00817793" w:rsidRDefault="002719FC">
            <w:pPr>
              <w:spacing w:before="120" w:after="120" w:line="240" w:lineRule="auto"/>
              <w:rPr>
                <w:highlight w:val="lightGray"/>
              </w:rPr>
            </w:pPr>
            <w:r>
              <w:t>4) incorporação mais lenta (taxa inicial de 15%, com aumento anual de 2,5%)</w:t>
            </w:r>
          </w:p>
        </w:tc>
        <w:tc>
          <w:tcPr>
            <w:tcW w:w="2190" w:type="dxa"/>
            <w:vAlign w:val="center"/>
          </w:tcPr>
          <w:p w14:paraId="46183D8D" w14:textId="77777777" w:rsidR="00817793" w:rsidRDefault="002719FC">
            <w:pPr>
              <w:tabs>
                <w:tab w:val="left" w:pos="284"/>
              </w:tabs>
              <w:spacing w:before="120" w:after="120" w:line="240" w:lineRule="auto"/>
              <w:jc w:val="center"/>
              <w:rPr>
                <w:i/>
                <w:color w:val="FF0000"/>
              </w:rPr>
            </w:pPr>
            <w:r>
              <w:t>Adequado</w:t>
            </w:r>
          </w:p>
        </w:tc>
        <w:tc>
          <w:tcPr>
            <w:tcW w:w="2730" w:type="dxa"/>
            <w:vAlign w:val="center"/>
          </w:tcPr>
          <w:p w14:paraId="6FFD464C" w14:textId="77777777" w:rsidR="00817793" w:rsidRDefault="002719FC">
            <w:pPr>
              <w:spacing w:before="120" w:after="120" w:line="240" w:lineRule="auto"/>
              <w:jc w:val="center"/>
            </w:pPr>
            <w:r>
              <w:t>Idem</w:t>
            </w:r>
          </w:p>
        </w:tc>
      </w:tr>
      <w:tr w:rsidR="00817793" w14:paraId="4E2BDC90" w14:textId="77777777">
        <w:trPr>
          <w:trHeight w:val="454"/>
          <w:jc w:val="center"/>
        </w:trPr>
        <w:tc>
          <w:tcPr>
            <w:tcW w:w="1755" w:type="dxa"/>
            <w:shd w:val="clear" w:color="auto" w:fill="auto"/>
            <w:vAlign w:val="center"/>
          </w:tcPr>
          <w:p w14:paraId="5846D386" w14:textId="77777777" w:rsidR="00817793" w:rsidRDefault="002719FC">
            <w:pPr>
              <w:spacing w:before="120" w:after="120" w:line="240" w:lineRule="auto"/>
              <w:jc w:val="center"/>
              <w:rPr>
                <w:b/>
              </w:rPr>
            </w:pPr>
            <w:r>
              <w:rPr>
                <w:b/>
              </w:rPr>
              <w:t>Participação no mercado</w:t>
            </w:r>
          </w:p>
        </w:tc>
        <w:tc>
          <w:tcPr>
            <w:tcW w:w="2475" w:type="dxa"/>
            <w:shd w:val="clear" w:color="auto" w:fill="auto"/>
            <w:vAlign w:val="center"/>
          </w:tcPr>
          <w:p w14:paraId="2DF0E30A" w14:textId="77777777" w:rsidR="00817793" w:rsidRDefault="002719FC">
            <w:pPr>
              <w:spacing w:before="120" w:after="120" w:line="240" w:lineRule="auto"/>
              <w:jc w:val="center"/>
            </w:pPr>
            <w:r>
              <w:t xml:space="preserve">Considerou-se uma taxa de incorporação inicial de 25%, com aumento anual de 5%, justificada pela diversidade de tratamentos disponíveis no tratamento padrão, possibilitando realizar trocas entre esses imunossupressores antes de considerar o uso de </w:t>
            </w:r>
            <w:proofErr w:type="spellStart"/>
            <w:r>
              <w:t>anifrolumabe</w:t>
            </w:r>
            <w:proofErr w:type="spellEnd"/>
            <w:r>
              <w:t>, limitando a velocidade de incorporação desse novo tratamento, além dos critérios de elegibilidade muito específicos.</w:t>
            </w:r>
          </w:p>
          <w:p w14:paraId="5186B13D" w14:textId="77777777" w:rsidR="00817793" w:rsidRDefault="00817793">
            <w:pPr>
              <w:spacing w:before="120" w:after="120" w:line="240" w:lineRule="auto"/>
              <w:jc w:val="center"/>
            </w:pPr>
          </w:p>
          <w:p w14:paraId="78CE13E8" w14:textId="77777777" w:rsidR="00817793" w:rsidRDefault="002719FC">
            <w:pPr>
              <w:spacing w:before="120" w:after="120" w:line="240" w:lineRule="auto"/>
              <w:jc w:val="center"/>
            </w:pPr>
            <w:r>
              <w:t xml:space="preserve">Também foram realizadas análises de cenário, considerando uma incorporação mais </w:t>
            </w:r>
            <w:r>
              <w:lastRenderedPageBreak/>
              <w:t>rápida (incorporação inicial de 40%, aumentando 10% ao ano) e mais lenta (incorporação inicial de 15%, com aumento de 2,5% ao ano).</w:t>
            </w:r>
          </w:p>
        </w:tc>
        <w:tc>
          <w:tcPr>
            <w:tcW w:w="2190" w:type="dxa"/>
            <w:vAlign w:val="center"/>
          </w:tcPr>
          <w:p w14:paraId="0BC8F340" w14:textId="77777777" w:rsidR="00817793" w:rsidRDefault="002719FC">
            <w:pPr>
              <w:pBdr>
                <w:top w:val="nil"/>
                <w:left w:val="nil"/>
                <w:bottom w:val="nil"/>
                <w:right w:val="nil"/>
                <w:between w:val="nil"/>
              </w:pBdr>
              <w:tabs>
                <w:tab w:val="left" w:pos="284"/>
              </w:tabs>
              <w:spacing w:before="120" w:after="120" w:line="240" w:lineRule="auto"/>
              <w:jc w:val="center"/>
            </w:pPr>
            <w:r>
              <w:lastRenderedPageBreak/>
              <w:t>Adequado</w:t>
            </w:r>
          </w:p>
          <w:p w14:paraId="6C57C439" w14:textId="77777777" w:rsidR="00817793" w:rsidRDefault="00817793">
            <w:pPr>
              <w:pBdr>
                <w:top w:val="nil"/>
                <w:left w:val="nil"/>
                <w:bottom w:val="nil"/>
                <w:right w:val="nil"/>
                <w:between w:val="nil"/>
              </w:pBdr>
              <w:tabs>
                <w:tab w:val="left" w:pos="284"/>
              </w:tabs>
              <w:spacing w:before="120" w:after="120" w:line="240" w:lineRule="auto"/>
              <w:jc w:val="center"/>
              <w:rPr>
                <w:i/>
                <w:color w:val="FF0000"/>
              </w:rPr>
            </w:pPr>
          </w:p>
          <w:p w14:paraId="3ED12D80" w14:textId="77777777" w:rsidR="00817793" w:rsidRDefault="002719FC">
            <w:pPr>
              <w:spacing w:before="120" w:after="120" w:line="240" w:lineRule="auto"/>
              <w:jc w:val="center"/>
            </w:pPr>
            <w:r>
              <w:t xml:space="preserve">Após consulta à especialista na área (reumatologia), considera-se que existe incerteza sobre a real taxa de incorporação, sendo que o cenário mais agressivo - incorporação rápida, com taxa inicial de 40%, com aumento anual de 10% - provavelmente seja o cenário mais provável, visto que nos estudos um percentual importante dos pacientes não estava com terapia </w:t>
            </w:r>
            <w:r>
              <w:lastRenderedPageBreak/>
              <w:t>otimizada (tripla), e que mesmo com os critérios estabelecidos na DUT pode ocorrer uma "prescrição por disponibilidade".</w:t>
            </w:r>
          </w:p>
          <w:p w14:paraId="3D404BC9" w14:textId="77777777" w:rsidR="00817793" w:rsidRDefault="00817793">
            <w:pPr>
              <w:pBdr>
                <w:top w:val="nil"/>
                <w:left w:val="nil"/>
                <w:bottom w:val="nil"/>
                <w:right w:val="nil"/>
                <w:between w:val="nil"/>
              </w:pBdr>
              <w:tabs>
                <w:tab w:val="left" w:pos="284"/>
              </w:tabs>
              <w:spacing w:before="120" w:after="120" w:line="240" w:lineRule="auto"/>
              <w:jc w:val="center"/>
              <w:rPr>
                <w:i/>
                <w:color w:val="FF0000"/>
              </w:rPr>
            </w:pPr>
          </w:p>
        </w:tc>
        <w:tc>
          <w:tcPr>
            <w:tcW w:w="2730" w:type="dxa"/>
            <w:vAlign w:val="center"/>
          </w:tcPr>
          <w:p w14:paraId="789E8278" w14:textId="77777777" w:rsidR="00817793" w:rsidRDefault="002719FC">
            <w:pPr>
              <w:spacing w:before="120" w:after="120" w:line="240" w:lineRule="auto"/>
              <w:jc w:val="center"/>
            </w:pPr>
            <w:r>
              <w:lastRenderedPageBreak/>
              <w:t>Idem</w:t>
            </w:r>
          </w:p>
        </w:tc>
      </w:tr>
      <w:tr w:rsidR="00817793" w14:paraId="05E65FAF" w14:textId="77777777">
        <w:trPr>
          <w:trHeight w:val="454"/>
          <w:jc w:val="center"/>
        </w:trPr>
        <w:tc>
          <w:tcPr>
            <w:tcW w:w="9150" w:type="dxa"/>
            <w:gridSpan w:val="4"/>
            <w:shd w:val="clear" w:color="auto" w:fill="auto"/>
            <w:vAlign w:val="center"/>
          </w:tcPr>
          <w:p w14:paraId="5C37AC3D" w14:textId="77777777" w:rsidR="00817793" w:rsidRDefault="002719FC">
            <w:pPr>
              <w:spacing w:before="120" w:after="120" w:line="240" w:lineRule="auto"/>
              <w:jc w:val="center"/>
              <w:rPr>
                <w:i/>
              </w:rPr>
            </w:pPr>
            <w:r>
              <w:rPr>
                <w:i/>
              </w:rPr>
              <w:t>População</w:t>
            </w:r>
          </w:p>
        </w:tc>
      </w:tr>
      <w:tr w:rsidR="00817793" w14:paraId="7F69471A" w14:textId="77777777">
        <w:trPr>
          <w:trHeight w:val="454"/>
          <w:jc w:val="center"/>
        </w:trPr>
        <w:tc>
          <w:tcPr>
            <w:tcW w:w="1755" w:type="dxa"/>
            <w:shd w:val="clear" w:color="auto" w:fill="auto"/>
            <w:vAlign w:val="center"/>
          </w:tcPr>
          <w:p w14:paraId="14E07BA2" w14:textId="77777777" w:rsidR="00817793" w:rsidRDefault="002719FC">
            <w:pPr>
              <w:spacing w:before="120" w:after="120" w:line="240" w:lineRule="auto"/>
              <w:jc w:val="center"/>
              <w:rPr>
                <w:b/>
              </w:rPr>
            </w:pPr>
            <w:r>
              <w:rPr>
                <w:b/>
              </w:rPr>
              <w:t>População</w:t>
            </w:r>
          </w:p>
        </w:tc>
        <w:tc>
          <w:tcPr>
            <w:tcW w:w="2475" w:type="dxa"/>
            <w:shd w:val="clear" w:color="auto" w:fill="auto"/>
            <w:vAlign w:val="center"/>
          </w:tcPr>
          <w:p w14:paraId="7B64576D" w14:textId="77777777" w:rsidR="00817793" w:rsidRDefault="002719FC">
            <w:pPr>
              <w:spacing w:before="120" w:after="120" w:line="240" w:lineRule="auto"/>
              <w:jc w:val="center"/>
            </w:pPr>
            <w:r>
              <w:t>Pacientes com LES positivo para autoanticorpos com 18 anos ou mais em uso de terapia tripla com hidroxicloroquina + corticosteroide (prednisona ≥7,5 mg/dia ou equivalente) + imunossupressor (</w:t>
            </w:r>
            <w:proofErr w:type="spellStart"/>
            <w:r>
              <w:t>azatioprina</w:t>
            </w:r>
            <w:proofErr w:type="spellEnd"/>
            <w:r>
              <w:t xml:space="preserve"> 2 mg/kg/dia ou </w:t>
            </w:r>
            <w:proofErr w:type="spellStart"/>
            <w:r>
              <w:t>micofenolato</w:t>
            </w:r>
            <w:proofErr w:type="spellEnd"/>
            <w:r>
              <w:t xml:space="preserve"> 1-3 mg/dia ou metotrexato ≥20 mg), com intolerância ou falha após 24 semanas de tratamento, em atividade moderada a grave definida pelo Índice de Atividade da Doença do Lúpus Eritematoso Sistêmico (SLEDAI-2K) ≥10 ou Índice de Área e Gravidade da Doença Cutânea do Lúpus (CLASI) ≥10.</w:t>
            </w:r>
          </w:p>
        </w:tc>
        <w:tc>
          <w:tcPr>
            <w:tcW w:w="2190" w:type="dxa"/>
            <w:vAlign w:val="center"/>
          </w:tcPr>
          <w:p w14:paraId="504C5AF1" w14:textId="77777777" w:rsidR="00817793" w:rsidRDefault="002719FC">
            <w:pPr>
              <w:tabs>
                <w:tab w:val="left" w:pos="284"/>
              </w:tabs>
              <w:spacing w:before="120" w:after="120" w:line="240" w:lineRule="auto"/>
              <w:jc w:val="center"/>
            </w:pPr>
            <w:r>
              <w:t>Adequado</w:t>
            </w:r>
          </w:p>
        </w:tc>
        <w:tc>
          <w:tcPr>
            <w:tcW w:w="2730" w:type="dxa"/>
            <w:vAlign w:val="center"/>
          </w:tcPr>
          <w:p w14:paraId="5BBA96D1" w14:textId="77777777" w:rsidR="00817793" w:rsidRDefault="002719FC">
            <w:pPr>
              <w:spacing w:before="120" w:after="120" w:line="240" w:lineRule="auto"/>
              <w:jc w:val="center"/>
            </w:pPr>
            <w:r>
              <w:t>Idem</w:t>
            </w:r>
          </w:p>
        </w:tc>
      </w:tr>
      <w:tr w:rsidR="00817793" w14:paraId="3F760D89" w14:textId="77777777">
        <w:trPr>
          <w:trHeight w:val="454"/>
          <w:jc w:val="center"/>
        </w:trPr>
        <w:tc>
          <w:tcPr>
            <w:tcW w:w="1755" w:type="dxa"/>
            <w:shd w:val="clear" w:color="auto" w:fill="auto"/>
            <w:vAlign w:val="center"/>
          </w:tcPr>
          <w:p w14:paraId="1EA84E2F" w14:textId="77777777" w:rsidR="00817793" w:rsidRDefault="002719FC">
            <w:pPr>
              <w:spacing w:before="120" w:after="120" w:line="240" w:lineRule="auto"/>
              <w:jc w:val="center"/>
              <w:rPr>
                <w:b/>
              </w:rPr>
            </w:pPr>
            <w:r>
              <w:rPr>
                <w:b/>
              </w:rPr>
              <w:t>Cálculo da população elegível</w:t>
            </w:r>
          </w:p>
        </w:tc>
        <w:tc>
          <w:tcPr>
            <w:tcW w:w="2475" w:type="dxa"/>
            <w:shd w:val="clear" w:color="auto" w:fill="auto"/>
            <w:vAlign w:val="center"/>
          </w:tcPr>
          <w:p w14:paraId="6F7BE756" w14:textId="77777777" w:rsidR="00817793" w:rsidRDefault="002719FC">
            <w:pPr>
              <w:spacing w:before="120" w:after="120" w:line="240" w:lineRule="auto"/>
              <w:jc w:val="center"/>
            </w:pPr>
            <w:r>
              <w:t>Pacientes de 18 anos ou mais - 76,4%</w:t>
            </w:r>
          </w:p>
          <w:p w14:paraId="24FC9719" w14:textId="77777777" w:rsidR="00817793" w:rsidRDefault="002719FC">
            <w:pPr>
              <w:spacing w:before="120" w:after="120" w:line="240" w:lineRule="auto"/>
              <w:jc w:val="center"/>
            </w:pPr>
            <w:r>
              <w:t>Cobertura da Saúde Suplementar - 26,3%</w:t>
            </w:r>
          </w:p>
          <w:p w14:paraId="31FA674E" w14:textId="77777777" w:rsidR="00817793" w:rsidRDefault="002719FC">
            <w:pPr>
              <w:spacing w:before="120" w:after="120" w:line="240" w:lineRule="auto"/>
              <w:jc w:val="center"/>
            </w:pPr>
            <w:r>
              <w:lastRenderedPageBreak/>
              <w:t>Prevalência de LES - 0,098%</w:t>
            </w:r>
          </w:p>
          <w:p w14:paraId="4690B506" w14:textId="77777777" w:rsidR="00817793" w:rsidRDefault="002719FC">
            <w:pPr>
              <w:spacing w:before="120" w:after="120" w:line="240" w:lineRule="auto"/>
              <w:jc w:val="center"/>
            </w:pPr>
            <w:r>
              <w:t xml:space="preserve"> Incidência de LES - 0,009% </w:t>
            </w:r>
          </w:p>
          <w:p w14:paraId="0746EF29" w14:textId="77777777" w:rsidR="00817793" w:rsidRDefault="002719FC">
            <w:pPr>
              <w:spacing w:before="120" w:after="120" w:line="240" w:lineRule="auto"/>
              <w:jc w:val="center"/>
            </w:pPr>
            <w:r>
              <w:t xml:space="preserve">Proporção sem nefrite </w:t>
            </w:r>
            <w:proofErr w:type="spellStart"/>
            <w:r>
              <w:t>lúpica</w:t>
            </w:r>
            <w:proofErr w:type="spellEnd"/>
            <w:r>
              <w:t xml:space="preserve"> - 48,5%</w:t>
            </w:r>
          </w:p>
          <w:p w14:paraId="7612D4EE" w14:textId="77777777" w:rsidR="00817793" w:rsidRDefault="002719FC">
            <w:pPr>
              <w:spacing w:before="120" w:after="120" w:line="240" w:lineRule="auto"/>
              <w:jc w:val="center"/>
            </w:pPr>
            <w:r>
              <w:t>Proporção com falha de corticosteroides (prednisona ≥ 7,5 mg ou equivalente) - 40,2%</w:t>
            </w:r>
          </w:p>
          <w:p w14:paraId="25613EC4" w14:textId="77777777" w:rsidR="00817793" w:rsidRDefault="002719FC">
            <w:pPr>
              <w:spacing w:before="120" w:after="120" w:line="240" w:lineRule="auto"/>
              <w:jc w:val="center"/>
            </w:pPr>
            <w:r>
              <w:t xml:space="preserve"> Pacientes em moderada a alta atividade da doença, por SLEDAI-2K ≥ 10 - 22,1% ou CLASI ≥ 10 - 8,2%</w:t>
            </w:r>
          </w:p>
          <w:p w14:paraId="61319B8A" w14:textId="77777777" w:rsidR="00817793" w:rsidRDefault="00817793">
            <w:pPr>
              <w:spacing w:before="120" w:after="120" w:line="240" w:lineRule="auto"/>
              <w:jc w:val="center"/>
            </w:pPr>
          </w:p>
          <w:p w14:paraId="1E9BC6E0" w14:textId="77777777" w:rsidR="00817793" w:rsidRDefault="002719FC">
            <w:pPr>
              <w:spacing w:before="120" w:after="120" w:line="240" w:lineRule="auto"/>
              <w:jc w:val="center"/>
            </w:pPr>
            <w:r>
              <w:t>Para estimar a proporção de pacientes com CLASI ≥ 10, foi necessário considerar que muitos pacientes com CLASI ≥ 10 já apresentam também SLEDAI ≥ 10, pois ambos são marcadores de atividade da doença. Ao somar os pacientes dos estudos TULIP-1 e TULIP-2, 27,7% apresentavam CLASI ≥ 10; no entanto, como 70,4% dos pacientes apresentavam SLEDAI ≥ 10, o filtro utilizado correspondeu a 8,2%</w:t>
            </w:r>
          </w:p>
          <w:p w14:paraId="31A560F4" w14:textId="77777777" w:rsidR="00817793" w:rsidRDefault="00817793">
            <w:pPr>
              <w:spacing w:before="120" w:after="120" w:line="240" w:lineRule="auto"/>
              <w:jc w:val="center"/>
              <w:rPr>
                <w:highlight w:val="yellow"/>
              </w:rPr>
            </w:pPr>
          </w:p>
          <w:p w14:paraId="2DA8A0D5" w14:textId="77777777" w:rsidR="00817793" w:rsidRDefault="002719FC">
            <w:pPr>
              <w:spacing w:before="120" w:after="120" w:line="240" w:lineRule="auto"/>
              <w:jc w:val="center"/>
              <w:rPr>
                <w:highlight w:val="yellow"/>
              </w:rPr>
            </w:pPr>
            <w:r>
              <w:t xml:space="preserve">Dados do modelo de custo-efetividade relacionados aos critérios de descontinuação conforme resposta ao </w:t>
            </w:r>
            <w:r>
              <w:lastRenderedPageBreak/>
              <w:t xml:space="preserve">tratamento foram utilizados para determinar o número de pacientes em uso de </w:t>
            </w:r>
            <w:proofErr w:type="spellStart"/>
            <w:r>
              <w:t>anifrolumabe</w:t>
            </w:r>
            <w:proofErr w:type="spellEnd"/>
            <w:r>
              <w:t xml:space="preserve"> do primeiro ao quinto ano após o início. </w:t>
            </w:r>
          </w:p>
        </w:tc>
        <w:tc>
          <w:tcPr>
            <w:tcW w:w="2190" w:type="dxa"/>
            <w:vAlign w:val="center"/>
          </w:tcPr>
          <w:p w14:paraId="5B27C190" w14:textId="77777777" w:rsidR="00817793" w:rsidRDefault="002719FC">
            <w:pPr>
              <w:spacing w:before="120" w:after="120" w:line="240" w:lineRule="auto"/>
              <w:jc w:val="center"/>
            </w:pPr>
            <w:r>
              <w:lastRenderedPageBreak/>
              <w:t>Parcialmente adequado</w:t>
            </w:r>
          </w:p>
          <w:p w14:paraId="70DF735C" w14:textId="77777777" w:rsidR="00817793" w:rsidRDefault="00817793">
            <w:pPr>
              <w:spacing w:before="120" w:after="120" w:line="240" w:lineRule="auto"/>
              <w:jc w:val="center"/>
            </w:pPr>
          </w:p>
          <w:p w14:paraId="638D3E25" w14:textId="77777777" w:rsidR="00817793" w:rsidRDefault="002719FC">
            <w:pPr>
              <w:spacing w:before="120" w:after="120" w:line="240" w:lineRule="auto"/>
              <w:jc w:val="center"/>
            </w:pPr>
            <w:r>
              <w:t xml:space="preserve">O proponente cita que os valores de </w:t>
            </w:r>
            <w:r>
              <w:t xml:space="preserve">incidência de LES, prevalência do LES e proporção de pacientes com nefrite </w:t>
            </w:r>
            <w:proofErr w:type="spellStart"/>
            <w:r>
              <w:t>lúpica</w:t>
            </w:r>
            <w:proofErr w:type="spellEnd"/>
            <w:r>
              <w:t xml:space="preserve"> são as mesmas estimativas da UAT 120, que aprovou a incorporação de </w:t>
            </w:r>
            <w:proofErr w:type="spellStart"/>
            <w:r>
              <w:t>belimumabe</w:t>
            </w:r>
            <w:proofErr w:type="spellEnd"/>
            <w:r>
              <w:t xml:space="preserve"> para nefrite </w:t>
            </w:r>
            <w:proofErr w:type="spellStart"/>
            <w:r>
              <w:t>lúpica</w:t>
            </w:r>
            <w:proofErr w:type="spellEnd"/>
            <w:r>
              <w:t>. Porém, no RAC já havia sido indicado que a prevalência de lúpus parecia estar subestimada para o Brasil (98 casos/100.000), portanto o cálculo foi refeito com uma referência indicando 147 casos/100.000.</w:t>
            </w:r>
          </w:p>
          <w:p w14:paraId="3A413BF6" w14:textId="77777777" w:rsidR="00817793" w:rsidRDefault="00817793">
            <w:pPr>
              <w:spacing w:before="120" w:after="120" w:line="240" w:lineRule="auto"/>
              <w:jc w:val="center"/>
            </w:pPr>
          </w:p>
          <w:p w14:paraId="6B42745A" w14:textId="03C21405" w:rsidR="00817793" w:rsidRDefault="002719FC">
            <w:pPr>
              <w:spacing w:before="120" w:after="120" w:line="240" w:lineRule="auto"/>
              <w:jc w:val="center"/>
              <w:rPr>
                <w:b/>
              </w:rPr>
            </w:pPr>
            <w:r>
              <w:t xml:space="preserve">Não foi considerada somente a população em uso de terapia tripla para cálculo da população elegível. Porém, trata-se de análise conservadora e que mais se aproxima da realidade. Apesar de não seguir a sugestão de DUT, o cálculo da população utilizando o dado “Proporção com falha de corticosteroides” foi mantido e está sendo utilizada como marcador da proporção de pacientes que utilizam terapia tripla </w:t>
            </w:r>
            <w:r>
              <w:lastRenderedPageBreak/>
              <w:t xml:space="preserve">com altas doses de corticosteroides (intolerância ou falha ao tratamento). </w:t>
            </w:r>
            <w:r>
              <w:rPr>
                <w:b/>
              </w:rPr>
              <w:t>Porém, o valor foi conferido e alterado na reanálise pelos pareceristas: da população do estudo referência, um total de 52,7%</w:t>
            </w:r>
            <w:r w:rsidR="00962048">
              <w:rPr>
                <w:b/>
              </w:rPr>
              <w:t xml:space="preserve"> </w:t>
            </w:r>
            <w:r>
              <w:rPr>
                <w:b/>
              </w:rPr>
              <w:t xml:space="preserve">recebia corticosteroides, sendo que destes 40,2% recebiam prednisona ≥ 7,5mg, o que resulta em 21,18% da população total do estudo. </w:t>
            </w:r>
          </w:p>
          <w:p w14:paraId="33D28B4B" w14:textId="77777777" w:rsidR="00817793" w:rsidRDefault="00817793">
            <w:pPr>
              <w:spacing w:before="120" w:after="120" w:line="240" w:lineRule="auto"/>
              <w:jc w:val="center"/>
            </w:pPr>
          </w:p>
          <w:p w14:paraId="163DEEFA" w14:textId="77777777" w:rsidR="00817793" w:rsidRDefault="002719FC">
            <w:pPr>
              <w:spacing w:before="120" w:after="120" w:line="240" w:lineRule="auto"/>
              <w:jc w:val="center"/>
            </w:pPr>
            <w:r>
              <w:t xml:space="preserve">Em relação ao cálculo do proponente para estimar a proporção de pacientes com CLASI ≥ 10, os dados foram conferidos conforme a seguir: os 8,2% provém um filtro utilizado pelo proponente que dividiu o número total de pacientes dos estudos TULIP 1 e TULIP 2 com </w:t>
            </w:r>
            <w:r>
              <w:rPr>
                <w:highlight w:val="white"/>
              </w:rPr>
              <w:t>CLASI-A ≥10</w:t>
            </w:r>
            <w:r>
              <w:t xml:space="preserve"> pelo número total de pacientes (grupo placebo e </w:t>
            </w:r>
            <w:proofErr w:type="spellStart"/>
            <w:r>
              <w:t>anifrolumabe</w:t>
            </w:r>
            <w:proofErr w:type="spellEnd"/>
            <w:r>
              <w:t xml:space="preserve"> 300mg) e multiplicou por 0,296 que é o percentual de pacientes que NÂO tinham SLEDAI &gt; ou igual a 10. O cálculo foi considerado </w:t>
            </w:r>
            <w:r>
              <w:lastRenderedPageBreak/>
              <w:t>correto e foi reproduzido pelo parecerista.</w:t>
            </w:r>
          </w:p>
        </w:tc>
        <w:tc>
          <w:tcPr>
            <w:tcW w:w="2730" w:type="dxa"/>
            <w:vAlign w:val="center"/>
          </w:tcPr>
          <w:p w14:paraId="2AC43445" w14:textId="77777777" w:rsidR="00817793" w:rsidRDefault="002719FC">
            <w:pPr>
              <w:spacing w:before="120" w:after="120" w:line="240" w:lineRule="auto"/>
            </w:pPr>
            <w:r>
              <w:lastRenderedPageBreak/>
              <w:t>População de beneficiários da saúde suplementar com mais de 18 anos (planilha ANS, a partir do ano 2025)</w:t>
            </w:r>
          </w:p>
          <w:p w14:paraId="1E2CD0CE" w14:textId="77777777" w:rsidR="00817793" w:rsidRDefault="002719FC">
            <w:pPr>
              <w:spacing w:before="120" w:after="120" w:line="240" w:lineRule="auto"/>
              <w:jc w:val="center"/>
            </w:pPr>
            <w:r>
              <w:t>Prevalência de LES - 0,147% (5)</w:t>
            </w:r>
          </w:p>
          <w:p w14:paraId="72FBD52A" w14:textId="77777777" w:rsidR="00817793" w:rsidRDefault="002719FC">
            <w:pPr>
              <w:spacing w:before="120" w:after="120" w:line="240" w:lineRule="auto"/>
              <w:jc w:val="center"/>
            </w:pPr>
            <w:r>
              <w:t xml:space="preserve"> Incidência de LES - 0,0087% (6)</w:t>
            </w:r>
          </w:p>
          <w:p w14:paraId="2FF9BE16" w14:textId="77777777" w:rsidR="00817793" w:rsidRDefault="002719FC">
            <w:pPr>
              <w:spacing w:before="120" w:after="120" w:line="240" w:lineRule="auto"/>
              <w:jc w:val="center"/>
            </w:pPr>
            <w:r>
              <w:t xml:space="preserve">Proporção sem nefrite </w:t>
            </w:r>
            <w:proofErr w:type="spellStart"/>
            <w:r>
              <w:t>lúpica</w:t>
            </w:r>
            <w:proofErr w:type="spellEnd"/>
            <w:r>
              <w:t xml:space="preserve"> - 48,5% (7)</w:t>
            </w:r>
          </w:p>
          <w:p w14:paraId="724E4C88" w14:textId="77777777" w:rsidR="00817793" w:rsidRDefault="002719FC">
            <w:pPr>
              <w:spacing w:before="120" w:after="120" w:line="240" w:lineRule="auto"/>
              <w:jc w:val="center"/>
            </w:pPr>
            <w:r>
              <w:t>Proporção com falha de corticosteroides (prednisona ≥ 7,5 mg ou equivalente) - 21,18% (8)</w:t>
            </w:r>
          </w:p>
          <w:p w14:paraId="022527A8" w14:textId="77777777" w:rsidR="00817793" w:rsidRDefault="002719FC">
            <w:pPr>
              <w:spacing w:before="120" w:after="120" w:line="240" w:lineRule="auto"/>
              <w:jc w:val="center"/>
            </w:pPr>
            <w:r>
              <w:t xml:space="preserve"> Pacientes em moderada a alta atividade da doença, por SLEDAI-2K ≥ 10 - 22,1% (9) ou CLASI ≥ 10 - 8,2% (10)</w:t>
            </w:r>
          </w:p>
          <w:p w14:paraId="37EFA3E3" w14:textId="77777777" w:rsidR="00817793" w:rsidRDefault="00817793">
            <w:pPr>
              <w:spacing w:before="120" w:after="120" w:line="240" w:lineRule="auto"/>
              <w:jc w:val="center"/>
            </w:pPr>
          </w:p>
          <w:p w14:paraId="09A1605D" w14:textId="076FC381" w:rsidR="00817793" w:rsidRDefault="002719FC">
            <w:pPr>
              <w:spacing w:before="120" w:after="120" w:line="240" w:lineRule="auto"/>
              <w:jc w:val="center"/>
            </w:pPr>
            <w:r>
              <w:t xml:space="preserve">Um novo cálculo para o número de “Pacientes em uso de </w:t>
            </w:r>
            <w:proofErr w:type="spellStart"/>
            <w:r>
              <w:t>Anifofrolumabe</w:t>
            </w:r>
            <w:proofErr w:type="spellEnd"/>
            <w:r>
              <w:t>”</w:t>
            </w:r>
            <w:r w:rsidR="00962048">
              <w:t xml:space="preserve"> </w:t>
            </w:r>
            <w:r>
              <w:t>simultaneamente, durante os 5 anos do exercício da AIO foi realizado, seguindo os mesmos cálculos realizados pelo proponente no modelo de custo-efetividade. Os valores das proporções de pacientes que mantinham o tratamento de um ano ao outro foram conferidos na planilha do proponente e nos estudos clínicos, concluindo que estavam corretos. São eles:</w:t>
            </w:r>
          </w:p>
          <w:p w14:paraId="41C6AC2A" w14:textId="77777777" w:rsidR="00817793" w:rsidRDefault="00817793">
            <w:pPr>
              <w:spacing w:before="120" w:after="120" w:line="240" w:lineRule="auto"/>
              <w:jc w:val="center"/>
            </w:pPr>
          </w:p>
          <w:p w14:paraId="2DC44586" w14:textId="77777777" w:rsidR="00817793" w:rsidRDefault="00817793">
            <w:pPr>
              <w:spacing w:before="120" w:after="120" w:line="240" w:lineRule="auto"/>
              <w:jc w:val="center"/>
            </w:pPr>
          </w:p>
          <w:p w14:paraId="49940A78" w14:textId="77777777" w:rsidR="00817793" w:rsidRDefault="002719FC">
            <w:pPr>
              <w:spacing w:before="0" w:after="0" w:line="240" w:lineRule="auto"/>
              <w:jc w:val="center"/>
            </w:pPr>
            <w:r>
              <w:t xml:space="preserve">% média de continuidade de tratamento desde o primeiro ano  </w:t>
            </w:r>
          </w:p>
          <w:p w14:paraId="1F28C99F" w14:textId="77777777" w:rsidR="00817793" w:rsidRDefault="002719FC">
            <w:pPr>
              <w:spacing w:before="0" w:after="0" w:line="240" w:lineRule="auto"/>
              <w:jc w:val="center"/>
            </w:pPr>
            <w:r>
              <w:t>Ano 1</w:t>
            </w:r>
            <w:r>
              <w:tab/>
              <w:t>49,00%</w:t>
            </w:r>
          </w:p>
          <w:p w14:paraId="30828F1E" w14:textId="77777777" w:rsidR="00817793" w:rsidRDefault="002719FC">
            <w:pPr>
              <w:spacing w:before="0" w:after="0" w:line="240" w:lineRule="auto"/>
              <w:jc w:val="center"/>
            </w:pPr>
            <w:r>
              <w:t>Ano 2</w:t>
            </w:r>
            <w:r>
              <w:tab/>
              <w:t>6,70%</w:t>
            </w:r>
          </w:p>
          <w:p w14:paraId="7A2F1EC6" w14:textId="77777777" w:rsidR="00817793" w:rsidRDefault="002719FC">
            <w:pPr>
              <w:spacing w:before="0" w:after="0" w:line="240" w:lineRule="auto"/>
              <w:jc w:val="center"/>
            </w:pPr>
            <w:r>
              <w:lastRenderedPageBreak/>
              <w:t>Ano 3</w:t>
            </w:r>
            <w:r>
              <w:tab/>
              <w:t>4,00%</w:t>
            </w:r>
          </w:p>
          <w:p w14:paraId="284D7762" w14:textId="77777777" w:rsidR="00817793" w:rsidRDefault="002719FC">
            <w:pPr>
              <w:spacing w:before="0" w:after="0" w:line="240" w:lineRule="auto"/>
              <w:jc w:val="center"/>
            </w:pPr>
            <w:r>
              <w:t>Ano 4</w:t>
            </w:r>
            <w:r>
              <w:tab/>
              <w:t>2,70%</w:t>
            </w:r>
          </w:p>
          <w:p w14:paraId="674B3AEE" w14:textId="77777777" w:rsidR="00817793" w:rsidRDefault="002719FC">
            <w:pPr>
              <w:spacing w:before="0" w:after="0" w:line="240" w:lineRule="auto"/>
              <w:jc w:val="center"/>
            </w:pPr>
            <w:r>
              <w:t>Ano 5</w:t>
            </w:r>
            <w:r>
              <w:tab/>
              <w:t>1,50%</w:t>
            </w:r>
          </w:p>
        </w:tc>
      </w:tr>
      <w:tr w:rsidR="00817793" w14:paraId="0D73C417" w14:textId="77777777">
        <w:trPr>
          <w:trHeight w:val="454"/>
          <w:jc w:val="center"/>
        </w:trPr>
        <w:tc>
          <w:tcPr>
            <w:tcW w:w="1755" w:type="dxa"/>
            <w:shd w:val="clear" w:color="auto" w:fill="auto"/>
            <w:vAlign w:val="center"/>
          </w:tcPr>
          <w:p w14:paraId="43B9B5F6" w14:textId="77777777" w:rsidR="00817793" w:rsidRDefault="002719FC">
            <w:pPr>
              <w:spacing w:before="120" w:after="120" w:line="240" w:lineRule="auto"/>
              <w:jc w:val="center"/>
              <w:rPr>
                <w:b/>
              </w:rPr>
            </w:pPr>
            <w:r>
              <w:rPr>
                <w:b/>
              </w:rPr>
              <w:lastRenderedPageBreak/>
              <w:t>Subgrupos</w:t>
            </w:r>
          </w:p>
        </w:tc>
        <w:tc>
          <w:tcPr>
            <w:tcW w:w="2475" w:type="dxa"/>
            <w:shd w:val="clear" w:color="auto" w:fill="auto"/>
            <w:vAlign w:val="center"/>
          </w:tcPr>
          <w:p w14:paraId="7CBBD17B" w14:textId="77777777" w:rsidR="00817793" w:rsidRDefault="002719FC">
            <w:pPr>
              <w:spacing w:before="120" w:after="120" w:line="240" w:lineRule="auto"/>
              <w:jc w:val="center"/>
            </w:pPr>
            <w:r>
              <w:t>O medicamento está sendo proposto exclusivamente para o subgrupo de pacientes com SLEDAI-2K ≥ 10 ou CLASI ≥ 10.</w:t>
            </w:r>
          </w:p>
        </w:tc>
        <w:tc>
          <w:tcPr>
            <w:tcW w:w="2190" w:type="dxa"/>
            <w:vAlign w:val="center"/>
          </w:tcPr>
          <w:p w14:paraId="5454602D" w14:textId="77777777" w:rsidR="00817793" w:rsidRDefault="002719FC">
            <w:pPr>
              <w:tabs>
                <w:tab w:val="left" w:pos="284"/>
              </w:tabs>
              <w:spacing w:before="120" w:after="120" w:line="240" w:lineRule="auto"/>
              <w:jc w:val="center"/>
              <w:rPr>
                <w:i/>
                <w:color w:val="FF0000"/>
              </w:rPr>
            </w:pPr>
            <w:r>
              <w:t>Adequado</w:t>
            </w:r>
          </w:p>
        </w:tc>
        <w:tc>
          <w:tcPr>
            <w:tcW w:w="2730" w:type="dxa"/>
            <w:vAlign w:val="center"/>
          </w:tcPr>
          <w:p w14:paraId="6741B3B9" w14:textId="77777777" w:rsidR="00817793" w:rsidRDefault="002719FC">
            <w:pPr>
              <w:spacing w:before="120" w:after="120" w:line="240" w:lineRule="auto"/>
              <w:jc w:val="center"/>
            </w:pPr>
            <w:r>
              <w:t>Idem</w:t>
            </w:r>
          </w:p>
        </w:tc>
      </w:tr>
      <w:tr w:rsidR="00817793" w14:paraId="167E4697" w14:textId="77777777">
        <w:trPr>
          <w:trHeight w:val="454"/>
          <w:jc w:val="center"/>
        </w:trPr>
        <w:tc>
          <w:tcPr>
            <w:tcW w:w="9150" w:type="dxa"/>
            <w:gridSpan w:val="4"/>
            <w:shd w:val="clear" w:color="auto" w:fill="auto"/>
            <w:vAlign w:val="center"/>
          </w:tcPr>
          <w:p w14:paraId="52F6F91C" w14:textId="77777777" w:rsidR="00817793" w:rsidRDefault="002719FC">
            <w:pPr>
              <w:spacing w:before="120" w:after="120" w:line="240" w:lineRule="auto"/>
              <w:jc w:val="center"/>
              <w:rPr>
                <w:i/>
              </w:rPr>
            </w:pPr>
            <w:r>
              <w:rPr>
                <w:i/>
              </w:rPr>
              <w:t>Custos</w:t>
            </w:r>
          </w:p>
        </w:tc>
      </w:tr>
      <w:tr w:rsidR="00817793" w14:paraId="284FA97A" w14:textId="77777777">
        <w:trPr>
          <w:trHeight w:val="454"/>
          <w:jc w:val="center"/>
        </w:trPr>
        <w:tc>
          <w:tcPr>
            <w:tcW w:w="1755" w:type="dxa"/>
            <w:shd w:val="clear" w:color="auto" w:fill="auto"/>
            <w:vAlign w:val="center"/>
          </w:tcPr>
          <w:p w14:paraId="448DF4B7" w14:textId="77777777" w:rsidR="00817793" w:rsidRDefault="002719FC">
            <w:pPr>
              <w:spacing w:before="120" w:after="120" w:line="240" w:lineRule="auto"/>
              <w:jc w:val="center"/>
              <w:rPr>
                <w:b/>
              </w:rPr>
            </w:pPr>
            <w:r>
              <w:rPr>
                <w:b/>
                <w:color w:val="000000"/>
              </w:rPr>
              <w:t>Componentes e fontes (tecnologia)</w:t>
            </w:r>
          </w:p>
        </w:tc>
        <w:tc>
          <w:tcPr>
            <w:tcW w:w="2475" w:type="dxa"/>
            <w:shd w:val="clear" w:color="auto" w:fill="auto"/>
            <w:vAlign w:val="center"/>
          </w:tcPr>
          <w:p w14:paraId="56D50015" w14:textId="77777777" w:rsidR="00817793" w:rsidRDefault="002719FC">
            <w:pPr>
              <w:spacing w:before="120" w:after="120" w:line="240" w:lineRule="auto"/>
              <w:jc w:val="center"/>
            </w:pPr>
            <w:r>
              <w:t xml:space="preserve">Foram incluídos os custos de aquisição de </w:t>
            </w:r>
            <w:proofErr w:type="spellStart"/>
            <w:r>
              <w:t>anifrolumabe</w:t>
            </w:r>
            <w:proofErr w:type="spellEnd"/>
            <w:r>
              <w:t xml:space="preserve">, obtidos através da tabela da Câmara de Regulação de Medicamentos (CMED) 2024 (Preço de fábrica [PF] 18%) - R$ 5.583,49, assim como custos de infusão do medicamento, a partir do D-TISS de 2023 - R$173,67. Assim, o custo total anual com </w:t>
            </w:r>
            <w:proofErr w:type="spellStart"/>
            <w:r>
              <w:t>anifrolumabe</w:t>
            </w:r>
            <w:proofErr w:type="spellEnd"/>
            <w:r>
              <w:t xml:space="preserve"> foi calculado em R$75.100,10 (13,04 doses).</w:t>
            </w:r>
          </w:p>
        </w:tc>
        <w:tc>
          <w:tcPr>
            <w:tcW w:w="2190" w:type="dxa"/>
            <w:vAlign w:val="center"/>
          </w:tcPr>
          <w:p w14:paraId="69819C99" w14:textId="77777777" w:rsidR="00817793" w:rsidRDefault="002719FC">
            <w:pPr>
              <w:tabs>
                <w:tab w:val="left" w:pos="284"/>
              </w:tabs>
              <w:spacing w:before="120" w:after="120" w:line="240" w:lineRule="auto"/>
              <w:jc w:val="center"/>
              <w:rPr>
                <w:i/>
                <w:color w:val="FF0000"/>
              </w:rPr>
            </w:pPr>
            <w:r>
              <w:t>Adequado</w:t>
            </w:r>
          </w:p>
        </w:tc>
        <w:tc>
          <w:tcPr>
            <w:tcW w:w="2730" w:type="dxa"/>
            <w:vAlign w:val="center"/>
          </w:tcPr>
          <w:p w14:paraId="39BD6734" w14:textId="77777777" w:rsidR="00817793" w:rsidRDefault="002719FC">
            <w:pPr>
              <w:spacing w:before="120" w:after="120" w:line="240" w:lineRule="auto"/>
              <w:jc w:val="center"/>
            </w:pPr>
            <w:r>
              <w:t>Idem</w:t>
            </w:r>
          </w:p>
        </w:tc>
      </w:tr>
      <w:tr w:rsidR="00817793" w14:paraId="08DA4EAE" w14:textId="77777777">
        <w:trPr>
          <w:trHeight w:val="454"/>
          <w:jc w:val="center"/>
        </w:trPr>
        <w:tc>
          <w:tcPr>
            <w:tcW w:w="1755" w:type="dxa"/>
            <w:shd w:val="clear" w:color="auto" w:fill="auto"/>
            <w:vAlign w:val="center"/>
          </w:tcPr>
          <w:p w14:paraId="7394D3FB" w14:textId="77777777" w:rsidR="00817793" w:rsidRDefault="002719FC">
            <w:pPr>
              <w:spacing w:before="120" w:after="120" w:line="240" w:lineRule="auto"/>
              <w:jc w:val="center"/>
              <w:rPr>
                <w:b/>
              </w:rPr>
            </w:pPr>
            <w:r>
              <w:rPr>
                <w:b/>
                <w:color w:val="000000"/>
              </w:rPr>
              <w:t>Componentes e fontes (comparadores)</w:t>
            </w:r>
          </w:p>
        </w:tc>
        <w:tc>
          <w:tcPr>
            <w:tcW w:w="2475" w:type="dxa"/>
            <w:shd w:val="clear" w:color="auto" w:fill="auto"/>
            <w:vAlign w:val="center"/>
          </w:tcPr>
          <w:p w14:paraId="302D312E" w14:textId="77777777" w:rsidR="00817793" w:rsidRDefault="002719FC">
            <w:pPr>
              <w:spacing w:before="120" w:after="120" w:line="240" w:lineRule="auto"/>
              <w:jc w:val="center"/>
            </w:pPr>
            <w:r>
              <w:t>O custo do comparador (tratamento padrão) foi considerado R$ 0,00</w:t>
            </w:r>
          </w:p>
        </w:tc>
        <w:tc>
          <w:tcPr>
            <w:tcW w:w="2190" w:type="dxa"/>
            <w:vAlign w:val="center"/>
          </w:tcPr>
          <w:p w14:paraId="4FFCBC07" w14:textId="77777777" w:rsidR="00817793" w:rsidRDefault="00817793">
            <w:pPr>
              <w:spacing w:before="120" w:after="120" w:line="240" w:lineRule="auto"/>
              <w:jc w:val="center"/>
              <w:rPr>
                <w:i/>
                <w:color w:val="FF0000"/>
              </w:rPr>
            </w:pPr>
          </w:p>
          <w:p w14:paraId="7B6A0A4A" w14:textId="77777777" w:rsidR="00817793" w:rsidRDefault="002719FC">
            <w:pPr>
              <w:spacing w:before="120" w:after="120" w:line="240" w:lineRule="auto"/>
              <w:jc w:val="center"/>
            </w:pPr>
            <w:r>
              <w:t>Adequado</w:t>
            </w:r>
          </w:p>
          <w:p w14:paraId="1728B4D0" w14:textId="77777777" w:rsidR="00817793" w:rsidRDefault="00817793">
            <w:pPr>
              <w:spacing w:before="120" w:after="120" w:line="240" w:lineRule="auto"/>
              <w:jc w:val="center"/>
            </w:pPr>
          </w:p>
          <w:p w14:paraId="35E5D326" w14:textId="77777777" w:rsidR="00817793" w:rsidRDefault="002719FC">
            <w:pPr>
              <w:spacing w:before="120" w:after="120" w:line="240" w:lineRule="auto"/>
              <w:jc w:val="center"/>
              <w:rPr>
                <w:i/>
                <w:color w:val="FF0000"/>
              </w:rPr>
            </w:pPr>
            <w:r>
              <w:t>Nenhum medicamento oral é custeado pela saúde suplementar</w:t>
            </w:r>
          </w:p>
        </w:tc>
        <w:tc>
          <w:tcPr>
            <w:tcW w:w="2730" w:type="dxa"/>
            <w:vAlign w:val="center"/>
          </w:tcPr>
          <w:p w14:paraId="1987C634" w14:textId="77777777" w:rsidR="00817793" w:rsidRDefault="002719FC">
            <w:pPr>
              <w:spacing w:before="120" w:after="120" w:line="240" w:lineRule="auto"/>
              <w:jc w:val="center"/>
            </w:pPr>
            <w:r>
              <w:t>Idem</w:t>
            </w:r>
          </w:p>
        </w:tc>
      </w:tr>
      <w:tr w:rsidR="00817793" w14:paraId="4BB7279D" w14:textId="77777777">
        <w:trPr>
          <w:trHeight w:val="454"/>
          <w:jc w:val="center"/>
        </w:trPr>
        <w:tc>
          <w:tcPr>
            <w:tcW w:w="1755" w:type="dxa"/>
            <w:shd w:val="clear" w:color="auto" w:fill="auto"/>
            <w:vAlign w:val="center"/>
          </w:tcPr>
          <w:p w14:paraId="4F1CC0F8" w14:textId="77777777" w:rsidR="00817793" w:rsidRDefault="002719FC">
            <w:pPr>
              <w:spacing w:before="120" w:after="120" w:line="240" w:lineRule="auto"/>
              <w:jc w:val="center"/>
              <w:rPr>
                <w:b/>
              </w:rPr>
            </w:pPr>
            <w:r>
              <w:rPr>
                <w:b/>
                <w:color w:val="000000"/>
              </w:rPr>
              <w:t>Custos associados</w:t>
            </w:r>
          </w:p>
        </w:tc>
        <w:tc>
          <w:tcPr>
            <w:tcW w:w="2475" w:type="dxa"/>
            <w:shd w:val="clear" w:color="auto" w:fill="auto"/>
            <w:vAlign w:val="center"/>
          </w:tcPr>
          <w:p w14:paraId="4E8A0A47" w14:textId="77777777" w:rsidR="00817793" w:rsidRDefault="002719FC">
            <w:pPr>
              <w:spacing w:before="120" w:after="120" w:line="240" w:lineRule="auto"/>
              <w:jc w:val="center"/>
            </w:pPr>
            <w:r>
              <w:t xml:space="preserve">Foram incluídos custos associados às exacerbações, eventos </w:t>
            </w:r>
            <w:r>
              <w:lastRenderedPageBreak/>
              <w:t xml:space="preserve">adversos e eventos de lesões orgânicas (SDI). </w:t>
            </w:r>
          </w:p>
          <w:p w14:paraId="5478DC2C" w14:textId="77777777" w:rsidR="00817793" w:rsidRDefault="002719FC">
            <w:pPr>
              <w:spacing w:before="120" w:after="120" w:line="240" w:lineRule="auto"/>
              <w:jc w:val="center"/>
            </w:pPr>
            <w:r>
              <w:t xml:space="preserve">O custo associado a exacerbações foi obtido a partir do custo de hospitalizações (dados do </w:t>
            </w:r>
            <w:proofErr w:type="gramStart"/>
            <w:r>
              <w:t>TISS)  de</w:t>
            </w:r>
            <w:proofErr w:type="gramEnd"/>
            <w:r>
              <w:t xml:space="preserve"> pacientes com CID-10 M32 (LES), M32.1 (LES com acometimento orgânico) e M32.9 (LES não especificado), resultando em um custo médio de R$ 19.011,57.</w:t>
            </w:r>
          </w:p>
          <w:p w14:paraId="64A56BCA" w14:textId="77777777" w:rsidR="00817793" w:rsidRDefault="002719FC">
            <w:pPr>
              <w:spacing w:before="120" w:after="120" w:line="240" w:lineRule="auto"/>
              <w:jc w:val="center"/>
            </w:pPr>
            <w:r>
              <w:t>Para o cálculo de custos associados a lesões orgânicas (SDI), foram considerados os custos associados a hospitalizações relacionadas a diferentes lesões orgânicas, a partir do D-TISS. Essa abordagem não inclui custos ambulatoriais, assim, o custo de danos orgânicos pode estar subestimado.</w:t>
            </w:r>
          </w:p>
          <w:p w14:paraId="4AE5207B" w14:textId="77777777" w:rsidR="00817793" w:rsidRDefault="002719FC">
            <w:pPr>
              <w:spacing w:before="120" w:after="120" w:line="240" w:lineRule="auto"/>
              <w:jc w:val="center"/>
              <w:rPr>
                <w:highlight w:val="lightGray"/>
              </w:rPr>
            </w:pPr>
            <w:r>
              <w:t xml:space="preserve">Para calcular os custos de eventos adversos relacionados ao </w:t>
            </w:r>
            <w:proofErr w:type="spellStart"/>
            <w:r>
              <w:t>anifrolumabe</w:t>
            </w:r>
            <w:proofErr w:type="spellEnd"/>
            <w:r>
              <w:t>, foram incluídos apenas custos ambulatoriais, uma vez que não houve aumento na frequência de eventos adversos sérios. Os custos ambulatoriais incluíram medicamentos e consultas relacionadas aos eventos adversos.</w:t>
            </w:r>
          </w:p>
        </w:tc>
        <w:tc>
          <w:tcPr>
            <w:tcW w:w="2190" w:type="dxa"/>
            <w:vAlign w:val="center"/>
          </w:tcPr>
          <w:p w14:paraId="57C07B1E" w14:textId="77777777" w:rsidR="00817793" w:rsidRDefault="002719FC">
            <w:pPr>
              <w:tabs>
                <w:tab w:val="left" w:pos="284"/>
              </w:tabs>
              <w:spacing w:before="120" w:after="120" w:line="240" w:lineRule="auto"/>
              <w:jc w:val="center"/>
            </w:pPr>
            <w:r>
              <w:lastRenderedPageBreak/>
              <w:t>Parcialmente adequado</w:t>
            </w:r>
          </w:p>
          <w:p w14:paraId="34959D4B" w14:textId="77777777" w:rsidR="00817793" w:rsidRDefault="00817793">
            <w:pPr>
              <w:tabs>
                <w:tab w:val="left" w:pos="284"/>
              </w:tabs>
              <w:spacing w:before="120" w:after="120" w:line="240" w:lineRule="auto"/>
              <w:jc w:val="center"/>
            </w:pPr>
          </w:p>
          <w:p w14:paraId="2461421B" w14:textId="4786C022" w:rsidR="00817793" w:rsidRDefault="002719FC">
            <w:pPr>
              <w:spacing w:before="120" w:after="120" w:line="240" w:lineRule="auto"/>
              <w:jc w:val="center"/>
            </w:pPr>
            <w:r>
              <w:lastRenderedPageBreak/>
              <w:t>Ressalta-se a falta de transparência e detalhamento sobre os dados de custo de hospitalização de pacientes com lúpus a partir de pesquisa dos códigos CID no D-TISS, para cálculo do custo das exacerbações e SDI. A princípio se trata de dados abertos D-TISS, porém métodos de extração e análise não foram apresentados.</w:t>
            </w:r>
          </w:p>
          <w:p w14:paraId="7BD58BA2" w14:textId="77777777" w:rsidR="00817793" w:rsidRDefault="00817793">
            <w:pPr>
              <w:tabs>
                <w:tab w:val="left" w:pos="284"/>
              </w:tabs>
              <w:spacing w:before="120" w:after="120" w:line="240" w:lineRule="auto"/>
              <w:jc w:val="center"/>
            </w:pPr>
          </w:p>
          <w:p w14:paraId="2360755D" w14:textId="1785BAA9" w:rsidR="00817793" w:rsidRDefault="002719FC">
            <w:pPr>
              <w:tabs>
                <w:tab w:val="left" w:pos="284"/>
              </w:tabs>
              <w:spacing w:before="120" w:after="120" w:line="240" w:lineRule="auto"/>
              <w:jc w:val="center"/>
            </w:pPr>
            <w:r>
              <w:t xml:space="preserve">Em relação aos eventos adversos, o proponente </w:t>
            </w:r>
            <w:r>
              <w:rPr>
                <w:highlight w:val="white"/>
              </w:rPr>
              <w:t xml:space="preserve">considerou apenas </w:t>
            </w:r>
            <w:r>
              <w:t xml:space="preserve">os custos ambulatoriais, porém os custos com medicamentos orais para eventos adversos não se enquadram na perspectiva da saúde suplementar pois são custos out </w:t>
            </w:r>
            <w:proofErr w:type="spellStart"/>
            <w:r>
              <w:t>of</w:t>
            </w:r>
            <w:proofErr w:type="spellEnd"/>
            <w:r>
              <w:t xml:space="preserve"> pocket dos pacientes:  prednisona, hidroxicloroquina, </w:t>
            </w:r>
            <w:proofErr w:type="spellStart"/>
            <w:r>
              <w:t>micofenolato</w:t>
            </w:r>
            <w:proofErr w:type="spellEnd"/>
            <w:r>
              <w:rPr>
                <w:highlight w:val="white"/>
              </w:rPr>
              <w:t xml:space="preserve">, metotrexato, ciclofosfamida e </w:t>
            </w:r>
            <w:proofErr w:type="spellStart"/>
            <w:r>
              <w:rPr>
                <w:highlight w:val="white"/>
              </w:rPr>
              <w:t>azatioprina</w:t>
            </w:r>
            <w:proofErr w:type="spellEnd"/>
            <w:r>
              <w:t xml:space="preserve">.  A ciclofosfamida, inclusive, não é indicada para a população-alvo. Ainda, há uma </w:t>
            </w:r>
            <w:r>
              <w:rPr>
                <w:highlight w:val="white"/>
              </w:rPr>
              <w:t xml:space="preserve">superestimativa dos </w:t>
            </w:r>
            <w:r>
              <w:rPr>
                <w:highlight w:val="white"/>
              </w:rPr>
              <w:lastRenderedPageBreak/>
              <w:t>números de consultas relacionadas a esses eventos, ao considerar um número estimado de consultas independentes para cada EA.</w:t>
            </w:r>
          </w:p>
        </w:tc>
        <w:tc>
          <w:tcPr>
            <w:tcW w:w="2730" w:type="dxa"/>
            <w:vAlign w:val="center"/>
          </w:tcPr>
          <w:p w14:paraId="3AE2E13F" w14:textId="77777777" w:rsidR="00817793" w:rsidRDefault="002719FC">
            <w:pPr>
              <w:spacing w:before="120" w:after="120" w:line="240" w:lineRule="auto"/>
              <w:jc w:val="center"/>
            </w:pPr>
            <w:r>
              <w:lastRenderedPageBreak/>
              <w:t xml:space="preserve">Foram incluídos os mesmos custos calculados pelo proponente associados às exacerbações e eventos de </w:t>
            </w:r>
            <w:r>
              <w:t>lesões orgânicas (SDI), para fins de comparação dos resultados obtidos entre o proponente e parecerista.</w:t>
            </w:r>
          </w:p>
          <w:p w14:paraId="29D6B04F" w14:textId="77777777" w:rsidR="00817793" w:rsidRDefault="002719FC">
            <w:pPr>
              <w:spacing w:before="120" w:after="120" w:line="240" w:lineRule="auto"/>
              <w:jc w:val="center"/>
            </w:pPr>
            <w:r>
              <w:t xml:space="preserve"> </w:t>
            </w:r>
          </w:p>
          <w:p w14:paraId="36FB1189" w14:textId="77777777" w:rsidR="00817793" w:rsidRDefault="002719FC">
            <w:pPr>
              <w:spacing w:before="120" w:after="120" w:line="240" w:lineRule="auto"/>
              <w:jc w:val="center"/>
              <w:rPr>
                <w:highlight w:val="yellow"/>
              </w:rPr>
            </w:pPr>
            <w:r>
              <w:t>Os custos</w:t>
            </w:r>
            <w:r>
              <w:rPr>
                <w:highlight w:val="white"/>
              </w:rPr>
              <w:t xml:space="preserve"> de eventos adversos não foram incluídos pois considera-se que não haverá diferença significativa entre os grupos com relação a estes custos.</w:t>
            </w:r>
          </w:p>
        </w:tc>
      </w:tr>
      <w:tr w:rsidR="00817793" w14:paraId="1766C5E6" w14:textId="77777777">
        <w:trPr>
          <w:trHeight w:val="454"/>
          <w:jc w:val="center"/>
        </w:trPr>
        <w:tc>
          <w:tcPr>
            <w:tcW w:w="1755" w:type="dxa"/>
            <w:shd w:val="clear" w:color="auto" w:fill="auto"/>
            <w:vAlign w:val="center"/>
          </w:tcPr>
          <w:p w14:paraId="2E0FD409" w14:textId="77777777" w:rsidR="00817793" w:rsidRDefault="002719FC">
            <w:pPr>
              <w:spacing w:before="120" w:after="120" w:line="240" w:lineRule="auto"/>
              <w:jc w:val="center"/>
              <w:rPr>
                <w:b/>
              </w:rPr>
            </w:pPr>
            <w:r>
              <w:rPr>
                <w:b/>
                <w:color w:val="000000"/>
              </w:rPr>
              <w:lastRenderedPageBreak/>
              <w:t>Custos não incluídos</w:t>
            </w:r>
          </w:p>
        </w:tc>
        <w:tc>
          <w:tcPr>
            <w:tcW w:w="2475" w:type="dxa"/>
            <w:shd w:val="clear" w:color="auto" w:fill="auto"/>
            <w:vAlign w:val="center"/>
          </w:tcPr>
          <w:p w14:paraId="06597746" w14:textId="77777777" w:rsidR="00817793" w:rsidRDefault="002719FC">
            <w:pPr>
              <w:spacing w:before="120" w:after="120" w:line="240" w:lineRule="auto"/>
              <w:jc w:val="center"/>
            </w:pPr>
            <w:r>
              <w:t>Não foram inclusos custos associados ao uso de corticosteroides no impacto orçamentário.</w:t>
            </w:r>
          </w:p>
        </w:tc>
        <w:tc>
          <w:tcPr>
            <w:tcW w:w="2190" w:type="dxa"/>
            <w:vAlign w:val="center"/>
          </w:tcPr>
          <w:p w14:paraId="583A9351" w14:textId="77777777" w:rsidR="00817793" w:rsidRDefault="002719FC">
            <w:pPr>
              <w:spacing w:before="120" w:after="120" w:line="240" w:lineRule="auto"/>
              <w:jc w:val="center"/>
            </w:pPr>
            <w:r>
              <w:t>Adequado</w:t>
            </w:r>
          </w:p>
          <w:p w14:paraId="4357A966" w14:textId="77777777" w:rsidR="00817793" w:rsidRDefault="00817793">
            <w:pPr>
              <w:spacing w:before="120" w:after="120" w:line="240" w:lineRule="auto"/>
              <w:jc w:val="center"/>
            </w:pPr>
          </w:p>
          <w:p w14:paraId="7359DEEF" w14:textId="77777777" w:rsidR="00817793" w:rsidRDefault="002719FC">
            <w:pPr>
              <w:spacing w:before="120" w:after="120" w:line="240" w:lineRule="auto"/>
              <w:jc w:val="center"/>
              <w:rPr>
                <w:i/>
                <w:color w:val="FF0000"/>
              </w:rPr>
            </w:pPr>
            <w:r>
              <w:t>Nenhum medicamento oral é custeado pela saúde suplementar</w:t>
            </w:r>
          </w:p>
        </w:tc>
        <w:tc>
          <w:tcPr>
            <w:tcW w:w="2730" w:type="dxa"/>
            <w:vAlign w:val="center"/>
          </w:tcPr>
          <w:p w14:paraId="2B3FFE71" w14:textId="77777777" w:rsidR="00817793" w:rsidRDefault="002719FC">
            <w:pPr>
              <w:spacing w:before="120" w:after="120" w:line="240" w:lineRule="auto"/>
              <w:jc w:val="center"/>
            </w:pPr>
            <w:r>
              <w:t>Idem</w:t>
            </w:r>
          </w:p>
        </w:tc>
      </w:tr>
      <w:tr w:rsidR="00817793" w14:paraId="09288756" w14:textId="77777777">
        <w:trPr>
          <w:trHeight w:val="454"/>
          <w:jc w:val="center"/>
        </w:trPr>
        <w:tc>
          <w:tcPr>
            <w:tcW w:w="1755" w:type="dxa"/>
            <w:shd w:val="clear" w:color="auto" w:fill="auto"/>
            <w:vAlign w:val="center"/>
          </w:tcPr>
          <w:p w14:paraId="050507AA" w14:textId="77777777" w:rsidR="00817793" w:rsidRDefault="002719FC">
            <w:pPr>
              <w:spacing w:before="120" w:after="120" w:line="240" w:lineRule="auto"/>
              <w:jc w:val="center"/>
              <w:rPr>
                <w:b/>
              </w:rPr>
            </w:pPr>
            <w:r>
              <w:rPr>
                <w:b/>
                <w:color w:val="000000"/>
              </w:rPr>
              <w:t>Ajustes</w:t>
            </w:r>
          </w:p>
        </w:tc>
        <w:tc>
          <w:tcPr>
            <w:tcW w:w="2475" w:type="dxa"/>
            <w:shd w:val="clear" w:color="auto" w:fill="auto"/>
            <w:vAlign w:val="center"/>
          </w:tcPr>
          <w:p w14:paraId="0E3C0B58" w14:textId="77777777" w:rsidR="00817793" w:rsidRDefault="002719FC">
            <w:pPr>
              <w:spacing w:before="120" w:after="120" w:line="240" w:lineRule="auto"/>
              <w:jc w:val="center"/>
            </w:pPr>
            <w:r>
              <w:t>Não descrito</w:t>
            </w:r>
          </w:p>
        </w:tc>
        <w:tc>
          <w:tcPr>
            <w:tcW w:w="2190" w:type="dxa"/>
            <w:vAlign w:val="center"/>
          </w:tcPr>
          <w:p w14:paraId="7873101C" w14:textId="77777777" w:rsidR="00817793" w:rsidRDefault="002719FC">
            <w:pPr>
              <w:spacing w:before="120" w:after="120" w:line="240" w:lineRule="auto"/>
              <w:jc w:val="center"/>
            </w:pPr>
            <w:r>
              <w:t>Não descrito</w:t>
            </w:r>
          </w:p>
        </w:tc>
        <w:tc>
          <w:tcPr>
            <w:tcW w:w="2730" w:type="dxa"/>
            <w:vAlign w:val="center"/>
          </w:tcPr>
          <w:p w14:paraId="1BBD13F9" w14:textId="77777777" w:rsidR="00817793" w:rsidRDefault="002719FC">
            <w:pPr>
              <w:spacing w:before="120" w:after="120" w:line="240" w:lineRule="auto"/>
              <w:jc w:val="center"/>
            </w:pPr>
            <w:r>
              <w:t>-</w:t>
            </w:r>
          </w:p>
        </w:tc>
      </w:tr>
    </w:tbl>
    <w:p w14:paraId="44690661" w14:textId="77777777" w:rsidR="00817793" w:rsidRDefault="00817793"/>
    <w:tbl>
      <w:tblPr>
        <w:tblStyle w:val="affc"/>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6337DFED" w14:textId="77777777">
        <w:trPr>
          <w:trHeight w:val="416"/>
        </w:trPr>
        <w:tc>
          <w:tcPr>
            <w:tcW w:w="9072" w:type="dxa"/>
            <w:shd w:val="clear" w:color="auto" w:fill="D9E2F3"/>
            <w:vAlign w:val="center"/>
          </w:tcPr>
          <w:p w14:paraId="317CB0F6" w14:textId="77777777" w:rsidR="00817793" w:rsidRDefault="002719FC">
            <w:pPr>
              <w:spacing w:before="120" w:after="120" w:line="240" w:lineRule="auto"/>
              <w:jc w:val="center"/>
              <w:rPr>
                <w:b/>
              </w:rPr>
            </w:pPr>
            <w:r>
              <w:rPr>
                <w:b/>
              </w:rPr>
              <w:t>Comentários adicionais sobre os métodos gerais da AIO apresentados pelo proponente</w:t>
            </w:r>
          </w:p>
        </w:tc>
      </w:tr>
      <w:tr w:rsidR="00817793" w14:paraId="62E86181" w14:textId="77777777">
        <w:trPr>
          <w:trHeight w:val="735"/>
        </w:trPr>
        <w:tc>
          <w:tcPr>
            <w:tcW w:w="9072" w:type="dxa"/>
            <w:vAlign w:val="center"/>
          </w:tcPr>
          <w:p w14:paraId="34192641" w14:textId="77777777" w:rsidR="00817793" w:rsidRDefault="002719FC">
            <w:pPr>
              <w:spacing w:before="120" w:after="120" w:line="240" w:lineRule="auto"/>
            </w:pPr>
            <w:r>
              <w:t xml:space="preserve">Trata-se de AIO detalhada e apresentada de forma clara, com utilização de alguns dados do modelo de custo-efetividade (critérios de descontinuação conforme resposta ao tratamento, número de exacerbações e de eventos de lesão de órgãos-alvo). </w:t>
            </w:r>
          </w:p>
        </w:tc>
      </w:tr>
    </w:tbl>
    <w:p w14:paraId="74539910" w14:textId="77777777" w:rsidR="00817793" w:rsidRDefault="00817793"/>
    <w:p w14:paraId="49EE13EE" w14:textId="77777777" w:rsidR="00817793" w:rsidRDefault="002719FC">
      <w:pPr>
        <w:pStyle w:val="Ttulo4"/>
      </w:pPr>
      <w:bookmarkStart w:id="63" w:name="_qilgjpfb842t" w:colFirst="0" w:colLast="0"/>
      <w:bookmarkEnd w:id="63"/>
      <w:r>
        <w:rPr>
          <w:b/>
        </w:rPr>
        <w:t>Quadro 27.</w:t>
      </w:r>
      <w:r>
        <w:t xml:space="preserve"> Estimativa da população elegível (versão do PROPONENTE e do PARECERISTA)</w:t>
      </w:r>
    </w:p>
    <w:tbl>
      <w:tblPr>
        <w:tblStyle w:val="affd"/>
        <w:tblW w:w="9039"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20"/>
        <w:gridCol w:w="3183"/>
        <w:gridCol w:w="2111"/>
        <w:gridCol w:w="2425"/>
      </w:tblGrid>
      <w:tr w:rsidR="00817793" w14:paraId="3629E176" w14:textId="77777777">
        <w:trPr>
          <w:trHeight w:val="397"/>
        </w:trPr>
        <w:tc>
          <w:tcPr>
            <w:tcW w:w="4503" w:type="dxa"/>
            <w:gridSpan w:val="2"/>
            <w:shd w:val="clear" w:color="auto" w:fill="D9E2F3"/>
            <w:vAlign w:val="center"/>
          </w:tcPr>
          <w:p w14:paraId="7931EB29" w14:textId="77777777" w:rsidR="00817793" w:rsidRDefault="002719FC">
            <w:pPr>
              <w:spacing w:before="120" w:after="120"/>
              <w:jc w:val="center"/>
              <w:rPr>
                <w:b/>
              </w:rPr>
            </w:pPr>
            <w:r>
              <w:rPr>
                <w:b/>
              </w:rPr>
              <w:t>Proponente</w:t>
            </w:r>
          </w:p>
        </w:tc>
        <w:tc>
          <w:tcPr>
            <w:tcW w:w="4536" w:type="dxa"/>
            <w:gridSpan w:val="2"/>
            <w:shd w:val="clear" w:color="auto" w:fill="D9E2F3"/>
            <w:vAlign w:val="center"/>
          </w:tcPr>
          <w:p w14:paraId="39DBEAD9" w14:textId="77777777" w:rsidR="00817793" w:rsidRDefault="002719FC">
            <w:pPr>
              <w:spacing w:before="120" w:after="120"/>
              <w:jc w:val="center"/>
              <w:rPr>
                <w:b/>
              </w:rPr>
            </w:pPr>
            <w:r>
              <w:rPr>
                <w:b/>
              </w:rPr>
              <w:t>Parecerista</w:t>
            </w:r>
          </w:p>
        </w:tc>
      </w:tr>
      <w:tr w:rsidR="00817793" w14:paraId="6D6BD996" w14:textId="77777777">
        <w:trPr>
          <w:trHeight w:val="397"/>
        </w:trPr>
        <w:tc>
          <w:tcPr>
            <w:tcW w:w="1320" w:type="dxa"/>
            <w:shd w:val="clear" w:color="auto" w:fill="D9E2F3"/>
            <w:vAlign w:val="center"/>
          </w:tcPr>
          <w:p w14:paraId="60EAE9A4" w14:textId="77777777" w:rsidR="00817793" w:rsidRDefault="002719FC">
            <w:pPr>
              <w:spacing w:before="120" w:after="120"/>
              <w:jc w:val="center"/>
              <w:rPr>
                <w:b/>
                <w:sz w:val="20"/>
                <w:szCs w:val="20"/>
              </w:rPr>
            </w:pPr>
            <w:r>
              <w:rPr>
                <w:b/>
                <w:sz w:val="20"/>
                <w:szCs w:val="20"/>
              </w:rPr>
              <w:t>Ano</w:t>
            </w:r>
          </w:p>
        </w:tc>
        <w:tc>
          <w:tcPr>
            <w:tcW w:w="3183" w:type="dxa"/>
            <w:shd w:val="clear" w:color="auto" w:fill="D9E2F3"/>
            <w:vAlign w:val="center"/>
          </w:tcPr>
          <w:p w14:paraId="3B6F2F96" w14:textId="77777777" w:rsidR="00817793" w:rsidRDefault="002719FC">
            <w:pPr>
              <w:spacing w:before="120" w:after="120"/>
              <w:jc w:val="center"/>
              <w:rPr>
                <w:b/>
                <w:sz w:val="20"/>
                <w:szCs w:val="20"/>
              </w:rPr>
            </w:pPr>
            <w:r>
              <w:rPr>
                <w:b/>
                <w:sz w:val="20"/>
                <w:szCs w:val="20"/>
              </w:rPr>
              <w:t>População</w:t>
            </w:r>
          </w:p>
        </w:tc>
        <w:tc>
          <w:tcPr>
            <w:tcW w:w="2111" w:type="dxa"/>
            <w:shd w:val="clear" w:color="auto" w:fill="D9E2F3"/>
            <w:vAlign w:val="center"/>
          </w:tcPr>
          <w:p w14:paraId="1CC081E5" w14:textId="77777777" w:rsidR="00817793" w:rsidRDefault="002719FC">
            <w:pPr>
              <w:spacing w:before="120" w:after="120"/>
              <w:jc w:val="center"/>
              <w:rPr>
                <w:b/>
                <w:sz w:val="20"/>
                <w:szCs w:val="20"/>
              </w:rPr>
            </w:pPr>
            <w:r>
              <w:rPr>
                <w:b/>
                <w:sz w:val="20"/>
                <w:szCs w:val="20"/>
              </w:rPr>
              <w:t>Ano</w:t>
            </w:r>
          </w:p>
        </w:tc>
        <w:tc>
          <w:tcPr>
            <w:tcW w:w="2425" w:type="dxa"/>
            <w:shd w:val="clear" w:color="auto" w:fill="D9E2F3"/>
            <w:vAlign w:val="center"/>
          </w:tcPr>
          <w:p w14:paraId="3AA982FB" w14:textId="77777777" w:rsidR="00817793" w:rsidRDefault="002719FC">
            <w:pPr>
              <w:spacing w:before="120" w:after="120"/>
              <w:jc w:val="center"/>
              <w:rPr>
                <w:b/>
                <w:sz w:val="20"/>
                <w:szCs w:val="20"/>
              </w:rPr>
            </w:pPr>
            <w:r>
              <w:rPr>
                <w:b/>
                <w:sz w:val="20"/>
                <w:szCs w:val="20"/>
              </w:rPr>
              <w:t>População</w:t>
            </w:r>
          </w:p>
        </w:tc>
      </w:tr>
      <w:tr w:rsidR="00817793" w14:paraId="6AFB4BFD" w14:textId="77777777">
        <w:trPr>
          <w:trHeight w:val="397"/>
        </w:trPr>
        <w:tc>
          <w:tcPr>
            <w:tcW w:w="1320" w:type="dxa"/>
            <w:vAlign w:val="center"/>
          </w:tcPr>
          <w:p w14:paraId="2FED79B9" w14:textId="77777777" w:rsidR="00817793" w:rsidRDefault="002719FC">
            <w:pPr>
              <w:spacing w:before="120" w:after="120"/>
              <w:jc w:val="center"/>
            </w:pPr>
            <w:r>
              <w:t>Ano 1</w:t>
            </w:r>
          </w:p>
        </w:tc>
        <w:tc>
          <w:tcPr>
            <w:tcW w:w="3183" w:type="dxa"/>
            <w:vAlign w:val="center"/>
          </w:tcPr>
          <w:p w14:paraId="5D9234E6" w14:textId="77777777" w:rsidR="00817793" w:rsidRDefault="002719FC">
            <w:pPr>
              <w:spacing w:before="120" w:after="120"/>
              <w:jc w:val="center"/>
            </w:pPr>
            <w:r>
              <w:t>2703</w:t>
            </w:r>
          </w:p>
        </w:tc>
        <w:tc>
          <w:tcPr>
            <w:tcW w:w="2111" w:type="dxa"/>
            <w:vAlign w:val="center"/>
          </w:tcPr>
          <w:p w14:paraId="7C9CD117" w14:textId="77777777" w:rsidR="00817793" w:rsidRDefault="002719FC">
            <w:pPr>
              <w:spacing w:before="120" w:after="120"/>
              <w:jc w:val="center"/>
            </w:pPr>
            <w:r>
              <w:t>Ano 1</w:t>
            </w:r>
          </w:p>
        </w:tc>
        <w:tc>
          <w:tcPr>
            <w:tcW w:w="2425" w:type="dxa"/>
            <w:vAlign w:val="center"/>
          </w:tcPr>
          <w:p w14:paraId="1064CD6C" w14:textId="77777777" w:rsidR="00817793" w:rsidRDefault="002719FC">
            <w:pPr>
              <w:spacing w:before="120" w:after="120"/>
              <w:jc w:val="center"/>
            </w:pPr>
            <w:r>
              <w:t xml:space="preserve"> 1.954 </w:t>
            </w:r>
          </w:p>
        </w:tc>
      </w:tr>
      <w:tr w:rsidR="00817793" w14:paraId="2BE69FD0" w14:textId="77777777">
        <w:trPr>
          <w:trHeight w:val="397"/>
        </w:trPr>
        <w:tc>
          <w:tcPr>
            <w:tcW w:w="1320" w:type="dxa"/>
            <w:vAlign w:val="center"/>
          </w:tcPr>
          <w:p w14:paraId="2CF4F565" w14:textId="77777777" w:rsidR="00817793" w:rsidRDefault="002719FC">
            <w:pPr>
              <w:spacing w:before="120" w:after="120"/>
              <w:jc w:val="center"/>
            </w:pPr>
            <w:r>
              <w:t>Ano 2</w:t>
            </w:r>
          </w:p>
        </w:tc>
        <w:tc>
          <w:tcPr>
            <w:tcW w:w="3183" w:type="dxa"/>
            <w:vAlign w:val="center"/>
          </w:tcPr>
          <w:p w14:paraId="50921FAF" w14:textId="77777777" w:rsidR="00817793" w:rsidRDefault="002719FC">
            <w:pPr>
              <w:spacing w:before="120" w:after="120"/>
              <w:jc w:val="center"/>
            </w:pPr>
            <w:r>
              <w:t xml:space="preserve">2713 </w:t>
            </w:r>
          </w:p>
        </w:tc>
        <w:tc>
          <w:tcPr>
            <w:tcW w:w="2111" w:type="dxa"/>
            <w:vAlign w:val="center"/>
          </w:tcPr>
          <w:p w14:paraId="257D54C0" w14:textId="77777777" w:rsidR="00817793" w:rsidRDefault="002719FC">
            <w:pPr>
              <w:spacing w:before="120" w:after="120"/>
              <w:jc w:val="center"/>
            </w:pPr>
            <w:r>
              <w:t>Ano 2</w:t>
            </w:r>
          </w:p>
        </w:tc>
        <w:tc>
          <w:tcPr>
            <w:tcW w:w="2425" w:type="dxa"/>
            <w:vAlign w:val="center"/>
          </w:tcPr>
          <w:p w14:paraId="0B22FE10" w14:textId="77777777" w:rsidR="00817793" w:rsidRDefault="002719FC">
            <w:pPr>
              <w:spacing w:before="120" w:after="120"/>
              <w:jc w:val="center"/>
            </w:pPr>
            <w:r>
              <w:t xml:space="preserve">   1.971 </w:t>
            </w:r>
          </w:p>
        </w:tc>
      </w:tr>
      <w:tr w:rsidR="00817793" w14:paraId="19865F1E" w14:textId="77777777">
        <w:trPr>
          <w:trHeight w:val="397"/>
        </w:trPr>
        <w:tc>
          <w:tcPr>
            <w:tcW w:w="1320" w:type="dxa"/>
            <w:vAlign w:val="center"/>
          </w:tcPr>
          <w:p w14:paraId="293CBB22" w14:textId="77777777" w:rsidR="00817793" w:rsidRDefault="002719FC">
            <w:pPr>
              <w:spacing w:before="120" w:after="120"/>
              <w:jc w:val="center"/>
            </w:pPr>
            <w:r>
              <w:t>Ano 3</w:t>
            </w:r>
          </w:p>
        </w:tc>
        <w:tc>
          <w:tcPr>
            <w:tcW w:w="3183" w:type="dxa"/>
            <w:vAlign w:val="center"/>
          </w:tcPr>
          <w:p w14:paraId="2EE91709" w14:textId="77777777" w:rsidR="00817793" w:rsidRDefault="002719FC">
            <w:pPr>
              <w:spacing w:before="120" w:after="120"/>
              <w:jc w:val="center"/>
            </w:pPr>
            <w:r>
              <w:t xml:space="preserve">2723 </w:t>
            </w:r>
          </w:p>
        </w:tc>
        <w:tc>
          <w:tcPr>
            <w:tcW w:w="2111" w:type="dxa"/>
            <w:vAlign w:val="center"/>
          </w:tcPr>
          <w:p w14:paraId="3F10AAC4" w14:textId="77777777" w:rsidR="00817793" w:rsidRDefault="002719FC">
            <w:pPr>
              <w:spacing w:before="120" w:after="120"/>
              <w:jc w:val="center"/>
            </w:pPr>
            <w:r>
              <w:t>Ano 3</w:t>
            </w:r>
          </w:p>
        </w:tc>
        <w:tc>
          <w:tcPr>
            <w:tcW w:w="2425" w:type="dxa"/>
            <w:vAlign w:val="center"/>
          </w:tcPr>
          <w:p w14:paraId="488A6B71" w14:textId="77777777" w:rsidR="00817793" w:rsidRDefault="002719FC">
            <w:pPr>
              <w:spacing w:before="120" w:after="120"/>
              <w:jc w:val="center"/>
            </w:pPr>
            <w:r>
              <w:t xml:space="preserve">  1.988 </w:t>
            </w:r>
          </w:p>
        </w:tc>
      </w:tr>
      <w:tr w:rsidR="00817793" w14:paraId="550E1895" w14:textId="77777777">
        <w:trPr>
          <w:trHeight w:val="397"/>
        </w:trPr>
        <w:tc>
          <w:tcPr>
            <w:tcW w:w="1320" w:type="dxa"/>
            <w:vAlign w:val="center"/>
          </w:tcPr>
          <w:p w14:paraId="333010FD" w14:textId="77777777" w:rsidR="00817793" w:rsidRDefault="002719FC">
            <w:pPr>
              <w:spacing w:before="120" w:after="120"/>
              <w:jc w:val="center"/>
            </w:pPr>
            <w:r>
              <w:t>Ano 4</w:t>
            </w:r>
          </w:p>
        </w:tc>
        <w:tc>
          <w:tcPr>
            <w:tcW w:w="3183" w:type="dxa"/>
            <w:vAlign w:val="center"/>
          </w:tcPr>
          <w:p w14:paraId="713E5DB0" w14:textId="77777777" w:rsidR="00817793" w:rsidRDefault="002719FC">
            <w:pPr>
              <w:spacing w:before="120" w:after="120"/>
              <w:jc w:val="center"/>
            </w:pPr>
            <w:r>
              <w:t>2733</w:t>
            </w:r>
          </w:p>
        </w:tc>
        <w:tc>
          <w:tcPr>
            <w:tcW w:w="2111" w:type="dxa"/>
            <w:vAlign w:val="center"/>
          </w:tcPr>
          <w:p w14:paraId="13354F5E" w14:textId="77777777" w:rsidR="00817793" w:rsidRDefault="002719FC">
            <w:pPr>
              <w:spacing w:before="120" w:after="120"/>
              <w:jc w:val="center"/>
            </w:pPr>
            <w:r>
              <w:t>Ano 4</w:t>
            </w:r>
          </w:p>
        </w:tc>
        <w:tc>
          <w:tcPr>
            <w:tcW w:w="2425" w:type="dxa"/>
            <w:vAlign w:val="center"/>
          </w:tcPr>
          <w:p w14:paraId="4E02549B" w14:textId="77777777" w:rsidR="00817793" w:rsidRDefault="002719FC">
            <w:pPr>
              <w:spacing w:before="120" w:after="120"/>
              <w:jc w:val="center"/>
            </w:pPr>
            <w:r>
              <w:t xml:space="preserve">  2.003 </w:t>
            </w:r>
          </w:p>
        </w:tc>
      </w:tr>
      <w:tr w:rsidR="00817793" w14:paraId="6990EBE5" w14:textId="77777777">
        <w:trPr>
          <w:trHeight w:val="397"/>
        </w:trPr>
        <w:tc>
          <w:tcPr>
            <w:tcW w:w="1320" w:type="dxa"/>
            <w:vAlign w:val="center"/>
          </w:tcPr>
          <w:p w14:paraId="1BB9CD88" w14:textId="77777777" w:rsidR="00817793" w:rsidRDefault="002719FC">
            <w:pPr>
              <w:spacing w:before="120" w:after="120"/>
              <w:jc w:val="center"/>
            </w:pPr>
            <w:r>
              <w:lastRenderedPageBreak/>
              <w:t>Ano 5</w:t>
            </w:r>
          </w:p>
        </w:tc>
        <w:tc>
          <w:tcPr>
            <w:tcW w:w="3183" w:type="dxa"/>
            <w:vAlign w:val="center"/>
          </w:tcPr>
          <w:p w14:paraId="599D2E89" w14:textId="77777777" w:rsidR="00817793" w:rsidRDefault="002719FC">
            <w:pPr>
              <w:spacing w:before="120" w:after="120"/>
              <w:jc w:val="center"/>
            </w:pPr>
            <w:r>
              <w:t>2743</w:t>
            </w:r>
          </w:p>
        </w:tc>
        <w:tc>
          <w:tcPr>
            <w:tcW w:w="2111" w:type="dxa"/>
            <w:vAlign w:val="center"/>
          </w:tcPr>
          <w:p w14:paraId="4F326C92" w14:textId="77777777" w:rsidR="00817793" w:rsidRDefault="002719FC">
            <w:pPr>
              <w:spacing w:before="120" w:after="120"/>
              <w:jc w:val="center"/>
            </w:pPr>
            <w:r>
              <w:t>Ano 5</w:t>
            </w:r>
          </w:p>
        </w:tc>
        <w:tc>
          <w:tcPr>
            <w:tcW w:w="2425" w:type="dxa"/>
            <w:vAlign w:val="center"/>
          </w:tcPr>
          <w:p w14:paraId="200F8A65" w14:textId="77777777" w:rsidR="00817793" w:rsidRDefault="002719FC">
            <w:pPr>
              <w:spacing w:before="120" w:after="120"/>
              <w:jc w:val="center"/>
            </w:pPr>
            <w:r>
              <w:t xml:space="preserve">  2.018</w:t>
            </w:r>
          </w:p>
        </w:tc>
      </w:tr>
      <w:tr w:rsidR="00817793" w14:paraId="324393E6" w14:textId="77777777">
        <w:trPr>
          <w:trHeight w:val="397"/>
        </w:trPr>
        <w:tc>
          <w:tcPr>
            <w:tcW w:w="1320" w:type="dxa"/>
            <w:vAlign w:val="center"/>
          </w:tcPr>
          <w:p w14:paraId="46FE0C09" w14:textId="77777777" w:rsidR="00817793" w:rsidRDefault="002719FC">
            <w:pPr>
              <w:spacing w:before="120" w:after="120"/>
              <w:jc w:val="center"/>
            </w:pPr>
            <w:r>
              <w:t>Total</w:t>
            </w:r>
          </w:p>
        </w:tc>
        <w:tc>
          <w:tcPr>
            <w:tcW w:w="3183" w:type="dxa"/>
            <w:vAlign w:val="center"/>
          </w:tcPr>
          <w:p w14:paraId="0642A6A2" w14:textId="77777777" w:rsidR="00817793" w:rsidRDefault="002719FC">
            <w:pPr>
              <w:spacing w:before="120" w:after="120"/>
              <w:jc w:val="center"/>
            </w:pPr>
            <w:r>
              <w:t>13.615</w:t>
            </w:r>
          </w:p>
        </w:tc>
        <w:tc>
          <w:tcPr>
            <w:tcW w:w="2111" w:type="dxa"/>
            <w:vAlign w:val="center"/>
          </w:tcPr>
          <w:p w14:paraId="51E8FDB7" w14:textId="77777777" w:rsidR="00817793" w:rsidRDefault="002719FC">
            <w:pPr>
              <w:spacing w:before="120" w:after="120"/>
              <w:jc w:val="center"/>
            </w:pPr>
            <w:r>
              <w:t>Total</w:t>
            </w:r>
          </w:p>
        </w:tc>
        <w:tc>
          <w:tcPr>
            <w:tcW w:w="2425" w:type="dxa"/>
            <w:vAlign w:val="center"/>
          </w:tcPr>
          <w:p w14:paraId="11AC1187" w14:textId="77777777" w:rsidR="00817793" w:rsidRDefault="002719FC">
            <w:pPr>
              <w:spacing w:before="120" w:after="120"/>
              <w:jc w:val="center"/>
            </w:pPr>
            <w:r>
              <w:t xml:space="preserve"> 9.935</w:t>
            </w:r>
          </w:p>
        </w:tc>
      </w:tr>
      <w:tr w:rsidR="00817793" w14:paraId="7609E115" w14:textId="77777777">
        <w:trPr>
          <w:trHeight w:val="397"/>
        </w:trPr>
        <w:tc>
          <w:tcPr>
            <w:tcW w:w="1320" w:type="dxa"/>
            <w:vAlign w:val="center"/>
          </w:tcPr>
          <w:p w14:paraId="608BCB0C" w14:textId="77777777" w:rsidR="00817793" w:rsidRDefault="002719FC">
            <w:pPr>
              <w:spacing w:before="120" w:after="120"/>
              <w:jc w:val="center"/>
            </w:pPr>
            <w:r>
              <w:t>Média anual</w:t>
            </w:r>
          </w:p>
        </w:tc>
        <w:tc>
          <w:tcPr>
            <w:tcW w:w="3183" w:type="dxa"/>
            <w:vAlign w:val="center"/>
          </w:tcPr>
          <w:p w14:paraId="79D1B7B4" w14:textId="77777777" w:rsidR="00817793" w:rsidRDefault="002719FC">
            <w:pPr>
              <w:spacing w:before="120" w:after="120"/>
              <w:jc w:val="center"/>
            </w:pPr>
            <w:r>
              <w:t>2.723</w:t>
            </w:r>
          </w:p>
        </w:tc>
        <w:tc>
          <w:tcPr>
            <w:tcW w:w="2111" w:type="dxa"/>
            <w:vAlign w:val="center"/>
          </w:tcPr>
          <w:p w14:paraId="02C72822" w14:textId="77777777" w:rsidR="00817793" w:rsidRDefault="002719FC">
            <w:pPr>
              <w:spacing w:before="120" w:after="120"/>
              <w:jc w:val="center"/>
            </w:pPr>
            <w:r>
              <w:t>Média anual</w:t>
            </w:r>
          </w:p>
        </w:tc>
        <w:tc>
          <w:tcPr>
            <w:tcW w:w="2425" w:type="dxa"/>
            <w:vAlign w:val="center"/>
          </w:tcPr>
          <w:p w14:paraId="142610D2" w14:textId="77777777" w:rsidR="00817793" w:rsidRDefault="002719FC">
            <w:pPr>
              <w:spacing w:before="120" w:after="120"/>
              <w:jc w:val="center"/>
            </w:pPr>
            <w:r>
              <w:t xml:space="preserve"> 1.987</w:t>
            </w:r>
          </w:p>
        </w:tc>
      </w:tr>
    </w:tbl>
    <w:p w14:paraId="5A7E0CF2" w14:textId="77777777" w:rsidR="00817793" w:rsidRDefault="00817793"/>
    <w:tbl>
      <w:tblPr>
        <w:tblStyle w:val="affe"/>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7A9D2D9" w14:textId="77777777">
        <w:trPr>
          <w:trHeight w:val="416"/>
        </w:trPr>
        <w:tc>
          <w:tcPr>
            <w:tcW w:w="9072" w:type="dxa"/>
            <w:shd w:val="clear" w:color="auto" w:fill="D9E2F3"/>
            <w:vAlign w:val="center"/>
          </w:tcPr>
          <w:p w14:paraId="68D28CA1" w14:textId="77777777" w:rsidR="00817793" w:rsidRDefault="002719FC">
            <w:pPr>
              <w:spacing w:before="120" w:after="120" w:line="240" w:lineRule="auto"/>
              <w:jc w:val="center"/>
              <w:rPr>
                <w:b/>
              </w:rPr>
            </w:pPr>
            <w:r>
              <w:rPr>
                <w:b/>
              </w:rPr>
              <w:t>Comentários adicionais sobre a estimativa da população apresentada pelo proponente</w:t>
            </w:r>
          </w:p>
        </w:tc>
      </w:tr>
      <w:tr w:rsidR="00817793" w14:paraId="0E0332D3" w14:textId="77777777">
        <w:trPr>
          <w:trHeight w:val="750"/>
        </w:trPr>
        <w:tc>
          <w:tcPr>
            <w:tcW w:w="9072" w:type="dxa"/>
            <w:vAlign w:val="center"/>
          </w:tcPr>
          <w:p w14:paraId="3C8E822D" w14:textId="77777777" w:rsidR="00817793" w:rsidRDefault="002719FC">
            <w:pPr>
              <w:spacing w:before="120" w:after="120" w:line="240" w:lineRule="auto"/>
            </w:pPr>
            <w:r>
              <w:t xml:space="preserve">O cálculo da população elegível foi considerado parcialmente adequado, já que foram necessárias algumas adequações nas referências utilizadas para obtenção dos índices de incidência de LES, prevalência do LES e proporção de pacientes com nefrite </w:t>
            </w:r>
            <w:proofErr w:type="spellStart"/>
            <w:r>
              <w:t>lúpica</w:t>
            </w:r>
            <w:proofErr w:type="spellEnd"/>
            <w:r>
              <w:t xml:space="preserve">. </w:t>
            </w:r>
          </w:p>
          <w:p w14:paraId="79C566DB" w14:textId="77777777" w:rsidR="00817793" w:rsidRDefault="002719FC">
            <w:pPr>
              <w:spacing w:before="120" w:after="120" w:line="240" w:lineRule="auto"/>
            </w:pPr>
            <w:r>
              <w:t xml:space="preserve">Não foi considerada somente a população em uso de terapia tripla para cálculo da população elegível, e sim, a proporção de pacientes com falha a </w:t>
            </w:r>
            <w:proofErr w:type="spellStart"/>
            <w:r>
              <w:t>corticoesteroides</w:t>
            </w:r>
            <w:proofErr w:type="spellEnd"/>
            <w:r>
              <w:t xml:space="preserve"> (prednisona ≥ 7,5 mg ou equivalente). Trata-se de análise conservadora e que mais se aproxima da realidade, e, apesar de não seguir a sugestão de DUT, o dado foi mantido pelo parecerista como marcador da proporção de pacientes que utilizam terapia tripla com altas doses de corticosteroides (intolerância ou falha ao tratamento). Ressalta-se que houve necessidade de correção no cálculo da proporção apresentada pelo proponente - passou de 40,2% para 21,18% e, por esta razão, a estimativa da população calculada pelo parecerista ficou menor.</w:t>
            </w:r>
          </w:p>
          <w:p w14:paraId="43385DC3" w14:textId="77777777" w:rsidR="00817793" w:rsidRDefault="002719FC">
            <w:pPr>
              <w:spacing w:before="120" w:after="120" w:line="240" w:lineRule="auto"/>
            </w:pPr>
            <w:r>
              <w:t xml:space="preserve">Importante ressaltar que foram utilizados os dados do modelo de custo-efetividade relacionados aos critérios de descontinuação conforme resposta ao tratamento para determinar o número de pacientes em uso de </w:t>
            </w:r>
            <w:proofErr w:type="spellStart"/>
            <w:r>
              <w:t>anifrolumabe</w:t>
            </w:r>
            <w:proofErr w:type="spellEnd"/>
            <w:r>
              <w:t xml:space="preserve"> do primeiro ao quinto ano após o início. Como a taxa de descontinuidade apresentou-se alta desde o primeiro ano (49%), houve um grande “desconto” (quase metade) na população de pacientes em uso de </w:t>
            </w:r>
            <w:proofErr w:type="spellStart"/>
            <w:r>
              <w:t>Anifofrolumabe</w:t>
            </w:r>
            <w:proofErr w:type="spellEnd"/>
            <w:r>
              <w:t xml:space="preserve"> durante os 5 anos do exercício da AIO, apesar de se considerar o uso simultâneo do medicamento de um ano ao outro.</w:t>
            </w:r>
          </w:p>
        </w:tc>
      </w:tr>
    </w:tbl>
    <w:p w14:paraId="60FA6563" w14:textId="77777777" w:rsidR="00817793" w:rsidRDefault="00817793">
      <w:pPr>
        <w:pStyle w:val="Ttulo4"/>
        <w:rPr>
          <w:b/>
        </w:rPr>
      </w:pPr>
      <w:bookmarkStart w:id="64" w:name="_1f2snm6e4j8i" w:colFirst="0" w:colLast="0"/>
      <w:bookmarkEnd w:id="64"/>
    </w:p>
    <w:p w14:paraId="113EE6A5" w14:textId="77777777" w:rsidR="00817793" w:rsidRDefault="002719FC">
      <w:pPr>
        <w:pStyle w:val="Ttulo4"/>
      </w:pPr>
      <w:bookmarkStart w:id="65" w:name="_2br9bopmxwz" w:colFirst="0" w:colLast="0"/>
      <w:bookmarkEnd w:id="65"/>
      <w:r>
        <w:rPr>
          <w:b/>
        </w:rPr>
        <w:t>Quadro 28.</w:t>
      </w:r>
      <w:r>
        <w:t xml:space="preserve">  Progressão estimada de participação no mercado apresentada pelo PROPONENTE.</w:t>
      </w:r>
    </w:p>
    <w:tbl>
      <w:tblPr>
        <w:tblStyle w:val="afff"/>
        <w:tblW w:w="708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895"/>
        <w:gridCol w:w="900"/>
        <w:gridCol w:w="930"/>
        <w:gridCol w:w="765"/>
        <w:gridCol w:w="810"/>
        <w:gridCol w:w="780"/>
      </w:tblGrid>
      <w:tr w:rsidR="00817793" w14:paraId="365CC027" w14:textId="77777777">
        <w:trPr>
          <w:trHeight w:val="300"/>
          <w:jc w:val="center"/>
        </w:trPr>
        <w:tc>
          <w:tcPr>
            <w:tcW w:w="2895" w:type="dxa"/>
            <w:shd w:val="clear" w:color="auto" w:fill="D9E2F3"/>
          </w:tcPr>
          <w:p w14:paraId="51E633CF" w14:textId="77777777" w:rsidR="00817793" w:rsidRDefault="002719FC">
            <w:pPr>
              <w:spacing w:before="120" w:after="120"/>
              <w:jc w:val="center"/>
              <w:rPr>
                <w:b/>
              </w:rPr>
            </w:pPr>
            <w:r>
              <w:rPr>
                <w:b/>
              </w:rPr>
              <w:t>Cenário A – atual</w:t>
            </w:r>
          </w:p>
        </w:tc>
        <w:tc>
          <w:tcPr>
            <w:tcW w:w="900" w:type="dxa"/>
            <w:shd w:val="clear" w:color="auto" w:fill="D9E2F3"/>
          </w:tcPr>
          <w:p w14:paraId="2182549D" w14:textId="77777777" w:rsidR="00817793" w:rsidRDefault="002719FC">
            <w:pPr>
              <w:spacing w:before="120" w:after="120"/>
              <w:jc w:val="center"/>
              <w:rPr>
                <w:b/>
              </w:rPr>
            </w:pPr>
            <w:r>
              <w:rPr>
                <w:b/>
              </w:rPr>
              <w:t>Ano 1</w:t>
            </w:r>
          </w:p>
        </w:tc>
        <w:tc>
          <w:tcPr>
            <w:tcW w:w="930" w:type="dxa"/>
            <w:shd w:val="clear" w:color="auto" w:fill="D9E2F3"/>
          </w:tcPr>
          <w:p w14:paraId="2FE58092" w14:textId="77777777" w:rsidR="00817793" w:rsidRDefault="002719FC">
            <w:pPr>
              <w:spacing w:before="120" w:after="120"/>
              <w:jc w:val="center"/>
              <w:rPr>
                <w:b/>
              </w:rPr>
            </w:pPr>
            <w:r>
              <w:rPr>
                <w:b/>
              </w:rPr>
              <w:t>Ano 2</w:t>
            </w:r>
          </w:p>
        </w:tc>
        <w:tc>
          <w:tcPr>
            <w:tcW w:w="765" w:type="dxa"/>
            <w:shd w:val="clear" w:color="auto" w:fill="D9E2F3"/>
          </w:tcPr>
          <w:p w14:paraId="7A363C68" w14:textId="77777777" w:rsidR="00817793" w:rsidRDefault="002719FC">
            <w:pPr>
              <w:spacing w:before="120" w:after="120"/>
              <w:jc w:val="center"/>
              <w:rPr>
                <w:b/>
              </w:rPr>
            </w:pPr>
            <w:r>
              <w:rPr>
                <w:b/>
              </w:rPr>
              <w:t>Ano 3</w:t>
            </w:r>
          </w:p>
        </w:tc>
        <w:tc>
          <w:tcPr>
            <w:tcW w:w="810" w:type="dxa"/>
            <w:shd w:val="clear" w:color="auto" w:fill="D9E2F3"/>
          </w:tcPr>
          <w:p w14:paraId="3B7997B6" w14:textId="77777777" w:rsidR="00817793" w:rsidRDefault="002719FC">
            <w:pPr>
              <w:spacing w:before="120" w:after="120"/>
              <w:jc w:val="center"/>
              <w:rPr>
                <w:b/>
              </w:rPr>
            </w:pPr>
            <w:r>
              <w:rPr>
                <w:b/>
              </w:rPr>
              <w:t>Ano 4</w:t>
            </w:r>
          </w:p>
        </w:tc>
        <w:tc>
          <w:tcPr>
            <w:tcW w:w="780" w:type="dxa"/>
            <w:shd w:val="clear" w:color="auto" w:fill="D9E2F3"/>
          </w:tcPr>
          <w:p w14:paraId="2DF1F847" w14:textId="77777777" w:rsidR="00817793" w:rsidRDefault="002719FC">
            <w:pPr>
              <w:spacing w:before="120" w:after="120"/>
              <w:jc w:val="center"/>
              <w:rPr>
                <w:b/>
              </w:rPr>
            </w:pPr>
            <w:r>
              <w:rPr>
                <w:b/>
              </w:rPr>
              <w:t>Ano 5</w:t>
            </w:r>
          </w:p>
        </w:tc>
      </w:tr>
      <w:tr w:rsidR="00817793" w14:paraId="192A9EC2" w14:textId="77777777">
        <w:trPr>
          <w:trHeight w:val="300"/>
          <w:jc w:val="center"/>
        </w:trPr>
        <w:tc>
          <w:tcPr>
            <w:tcW w:w="2895" w:type="dxa"/>
          </w:tcPr>
          <w:p w14:paraId="5720049F" w14:textId="77777777" w:rsidR="00817793" w:rsidRDefault="002719FC">
            <w:pPr>
              <w:spacing w:before="120" w:after="120"/>
              <w:jc w:val="left"/>
            </w:pPr>
            <w:r>
              <w:t xml:space="preserve">Com </w:t>
            </w:r>
            <w:proofErr w:type="spellStart"/>
            <w:r>
              <w:t>anifrolumabe</w:t>
            </w:r>
            <w:proofErr w:type="spellEnd"/>
          </w:p>
        </w:tc>
        <w:tc>
          <w:tcPr>
            <w:tcW w:w="900" w:type="dxa"/>
          </w:tcPr>
          <w:p w14:paraId="6D414B93" w14:textId="77777777" w:rsidR="00817793" w:rsidRDefault="002719FC">
            <w:pPr>
              <w:spacing w:before="120" w:after="120"/>
              <w:jc w:val="center"/>
              <w:rPr>
                <w:b/>
              </w:rPr>
            </w:pPr>
            <w:r>
              <w:t>0%</w:t>
            </w:r>
          </w:p>
        </w:tc>
        <w:tc>
          <w:tcPr>
            <w:tcW w:w="930" w:type="dxa"/>
          </w:tcPr>
          <w:p w14:paraId="4018C83E" w14:textId="77777777" w:rsidR="00817793" w:rsidRDefault="002719FC">
            <w:pPr>
              <w:spacing w:before="120" w:after="120"/>
              <w:jc w:val="center"/>
              <w:rPr>
                <w:b/>
              </w:rPr>
            </w:pPr>
            <w:r>
              <w:t>0%</w:t>
            </w:r>
          </w:p>
        </w:tc>
        <w:tc>
          <w:tcPr>
            <w:tcW w:w="765" w:type="dxa"/>
          </w:tcPr>
          <w:p w14:paraId="0EEA4D56" w14:textId="77777777" w:rsidR="00817793" w:rsidRDefault="002719FC">
            <w:pPr>
              <w:spacing w:before="120" w:after="120"/>
              <w:jc w:val="center"/>
              <w:rPr>
                <w:b/>
              </w:rPr>
            </w:pPr>
            <w:r>
              <w:t>0%</w:t>
            </w:r>
          </w:p>
        </w:tc>
        <w:tc>
          <w:tcPr>
            <w:tcW w:w="810" w:type="dxa"/>
          </w:tcPr>
          <w:p w14:paraId="2418A138" w14:textId="77777777" w:rsidR="00817793" w:rsidRDefault="002719FC">
            <w:pPr>
              <w:spacing w:before="120" w:after="120"/>
              <w:jc w:val="center"/>
              <w:rPr>
                <w:b/>
              </w:rPr>
            </w:pPr>
            <w:r>
              <w:t>0%</w:t>
            </w:r>
          </w:p>
        </w:tc>
        <w:tc>
          <w:tcPr>
            <w:tcW w:w="780" w:type="dxa"/>
          </w:tcPr>
          <w:p w14:paraId="284A9CAB" w14:textId="77777777" w:rsidR="00817793" w:rsidRDefault="002719FC">
            <w:pPr>
              <w:spacing w:before="120" w:after="120"/>
              <w:jc w:val="center"/>
              <w:rPr>
                <w:b/>
              </w:rPr>
            </w:pPr>
            <w:r>
              <w:t>0%</w:t>
            </w:r>
          </w:p>
        </w:tc>
      </w:tr>
      <w:tr w:rsidR="00817793" w14:paraId="234312E4" w14:textId="77777777">
        <w:trPr>
          <w:trHeight w:val="300"/>
          <w:jc w:val="center"/>
        </w:trPr>
        <w:tc>
          <w:tcPr>
            <w:tcW w:w="2895" w:type="dxa"/>
          </w:tcPr>
          <w:p w14:paraId="230B5D1F" w14:textId="77777777" w:rsidR="00817793" w:rsidRDefault="002719FC">
            <w:pPr>
              <w:spacing w:before="120" w:after="120"/>
              <w:jc w:val="left"/>
            </w:pPr>
            <w:r>
              <w:t xml:space="preserve">Sem </w:t>
            </w:r>
            <w:proofErr w:type="spellStart"/>
            <w:r>
              <w:t>anifrolumabe</w:t>
            </w:r>
            <w:proofErr w:type="spellEnd"/>
          </w:p>
        </w:tc>
        <w:tc>
          <w:tcPr>
            <w:tcW w:w="900" w:type="dxa"/>
          </w:tcPr>
          <w:p w14:paraId="135237C8" w14:textId="77777777" w:rsidR="00817793" w:rsidRDefault="002719FC">
            <w:pPr>
              <w:spacing w:before="120" w:after="120"/>
              <w:jc w:val="center"/>
            </w:pPr>
            <w:r>
              <w:t>100%</w:t>
            </w:r>
          </w:p>
        </w:tc>
        <w:tc>
          <w:tcPr>
            <w:tcW w:w="930" w:type="dxa"/>
          </w:tcPr>
          <w:p w14:paraId="3F393A7F" w14:textId="77777777" w:rsidR="00817793" w:rsidRDefault="002719FC">
            <w:pPr>
              <w:spacing w:before="120" w:after="120"/>
              <w:jc w:val="center"/>
            </w:pPr>
            <w:r>
              <w:t>100%</w:t>
            </w:r>
          </w:p>
        </w:tc>
        <w:tc>
          <w:tcPr>
            <w:tcW w:w="765" w:type="dxa"/>
          </w:tcPr>
          <w:p w14:paraId="0B7AE7F6" w14:textId="77777777" w:rsidR="00817793" w:rsidRDefault="002719FC">
            <w:pPr>
              <w:spacing w:before="120" w:after="120"/>
              <w:jc w:val="center"/>
            </w:pPr>
            <w:r>
              <w:t>100%</w:t>
            </w:r>
          </w:p>
        </w:tc>
        <w:tc>
          <w:tcPr>
            <w:tcW w:w="810" w:type="dxa"/>
          </w:tcPr>
          <w:p w14:paraId="3E2B4EAC" w14:textId="77777777" w:rsidR="00817793" w:rsidRDefault="002719FC">
            <w:pPr>
              <w:spacing w:before="120" w:after="120"/>
              <w:jc w:val="center"/>
            </w:pPr>
            <w:r>
              <w:t>100%</w:t>
            </w:r>
          </w:p>
        </w:tc>
        <w:tc>
          <w:tcPr>
            <w:tcW w:w="780" w:type="dxa"/>
          </w:tcPr>
          <w:p w14:paraId="2F3284AD" w14:textId="77777777" w:rsidR="00817793" w:rsidRDefault="002719FC">
            <w:pPr>
              <w:spacing w:before="120" w:after="120"/>
              <w:jc w:val="center"/>
            </w:pPr>
            <w:r>
              <w:t>100%</w:t>
            </w:r>
          </w:p>
        </w:tc>
      </w:tr>
      <w:tr w:rsidR="00817793" w14:paraId="058D4647" w14:textId="77777777">
        <w:trPr>
          <w:trHeight w:val="300"/>
          <w:jc w:val="center"/>
        </w:trPr>
        <w:tc>
          <w:tcPr>
            <w:tcW w:w="2895" w:type="dxa"/>
          </w:tcPr>
          <w:p w14:paraId="646CC4B6" w14:textId="77777777" w:rsidR="00817793" w:rsidRDefault="002719FC">
            <w:pPr>
              <w:spacing w:before="120" w:after="120"/>
              <w:jc w:val="center"/>
              <w:rPr>
                <w:b/>
              </w:rPr>
            </w:pPr>
            <w:r>
              <w:rPr>
                <w:b/>
              </w:rPr>
              <w:t>Cenário B – projetado</w:t>
            </w:r>
          </w:p>
        </w:tc>
        <w:tc>
          <w:tcPr>
            <w:tcW w:w="900" w:type="dxa"/>
          </w:tcPr>
          <w:p w14:paraId="2404D133" w14:textId="77777777" w:rsidR="00817793" w:rsidRDefault="002719FC">
            <w:pPr>
              <w:spacing w:before="120" w:after="120"/>
              <w:jc w:val="center"/>
              <w:rPr>
                <w:b/>
              </w:rPr>
            </w:pPr>
            <w:r>
              <w:rPr>
                <w:b/>
              </w:rPr>
              <w:t>Ano 1</w:t>
            </w:r>
          </w:p>
        </w:tc>
        <w:tc>
          <w:tcPr>
            <w:tcW w:w="930" w:type="dxa"/>
          </w:tcPr>
          <w:p w14:paraId="75C3BD76" w14:textId="77777777" w:rsidR="00817793" w:rsidRDefault="002719FC">
            <w:pPr>
              <w:spacing w:before="120" w:after="120"/>
              <w:jc w:val="center"/>
              <w:rPr>
                <w:b/>
              </w:rPr>
            </w:pPr>
            <w:r>
              <w:rPr>
                <w:b/>
              </w:rPr>
              <w:t>Ano 2</w:t>
            </w:r>
          </w:p>
        </w:tc>
        <w:tc>
          <w:tcPr>
            <w:tcW w:w="765" w:type="dxa"/>
          </w:tcPr>
          <w:p w14:paraId="3B05AE01" w14:textId="77777777" w:rsidR="00817793" w:rsidRDefault="002719FC">
            <w:pPr>
              <w:spacing w:before="120" w:after="120"/>
              <w:jc w:val="center"/>
              <w:rPr>
                <w:b/>
              </w:rPr>
            </w:pPr>
            <w:r>
              <w:rPr>
                <w:b/>
              </w:rPr>
              <w:t>Ano 3</w:t>
            </w:r>
          </w:p>
        </w:tc>
        <w:tc>
          <w:tcPr>
            <w:tcW w:w="810" w:type="dxa"/>
          </w:tcPr>
          <w:p w14:paraId="66E2529B" w14:textId="77777777" w:rsidR="00817793" w:rsidRDefault="002719FC">
            <w:pPr>
              <w:spacing w:before="120" w:after="120"/>
              <w:jc w:val="center"/>
              <w:rPr>
                <w:b/>
              </w:rPr>
            </w:pPr>
            <w:r>
              <w:rPr>
                <w:b/>
              </w:rPr>
              <w:t>Ano 4</w:t>
            </w:r>
          </w:p>
        </w:tc>
        <w:tc>
          <w:tcPr>
            <w:tcW w:w="780" w:type="dxa"/>
          </w:tcPr>
          <w:p w14:paraId="521AB349" w14:textId="77777777" w:rsidR="00817793" w:rsidRDefault="002719FC">
            <w:pPr>
              <w:spacing w:before="120" w:after="120"/>
              <w:jc w:val="center"/>
              <w:rPr>
                <w:b/>
              </w:rPr>
            </w:pPr>
            <w:r>
              <w:rPr>
                <w:b/>
              </w:rPr>
              <w:t>Ano 5</w:t>
            </w:r>
          </w:p>
        </w:tc>
      </w:tr>
      <w:tr w:rsidR="00817793" w14:paraId="2C69B916" w14:textId="77777777">
        <w:trPr>
          <w:trHeight w:val="300"/>
          <w:jc w:val="center"/>
        </w:trPr>
        <w:tc>
          <w:tcPr>
            <w:tcW w:w="2895" w:type="dxa"/>
          </w:tcPr>
          <w:p w14:paraId="22E49425" w14:textId="77777777" w:rsidR="00817793" w:rsidRDefault="002719FC">
            <w:pPr>
              <w:spacing w:before="120" w:after="120"/>
              <w:jc w:val="left"/>
            </w:pPr>
            <w:r>
              <w:t xml:space="preserve">Com </w:t>
            </w:r>
            <w:proofErr w:type="spellStart"/>
            <w:r>
              <w:t>anifrolumabe</w:t>
            </w:r>
            <w:proofErr w:type="spellEnd"/>
          </w:p>
        </w:tc>
        <w:tc>
          <w:tcPr>
            <w:tcW w:w="900" w:type="dxa"/>
          </w:tcPr>
          <w:p w14:paraId="4CDC75CA" w14:textId="77777777" w:rsidR="00817793" w:rsidRDefault="002719FC">
            <w:pPr>
              <w:spacing w:before="120" w:after="120"/>
              <w:jc w:val="center"/>
              <w:rPr>
                <w:b/>
              </w:rPr>
            </w:pPr>
            <w:r>
              <w:t>25%</w:t>
            </w:r>
          </w:p>
        </w:tc>
        <w:tc>
          <w:tcPr>
            <w:tcW w:w="930" w:type="dxa"/>
          </w:tcPr>
          <w:p w14:paraId="498DFBC8" w14:textId="77777777" w:rsidR="00817793" w:rsidRDefault="002719FC">
            <w:pPr>
              <w:spacing w:before="120" w:after="120"/>
              <w:jc w:val="center"/>
              <w:rPr>
                <w:b/>
              </w:rPr>
            </w:pPr>
            <w:r>
              <w:t>30%</w:t>
            </w:r>
          </w:p>
        </w:tc>
        <w:tc>
          <w:tcPr>
            <w:tcW w:w="765" w:type="dxa"/>
          </w:tcPr>
          <w:p w14:paraId="328E0D02" w14:textId="77777777" w:rsidR="00817793" w:rsidRDefault="002719FC">
            <w:pPr>
              <w:spacing w:before="120" w:after="120"/>
              <w:jc w:val="center"/>
              <w:rPr>
                <w:b/>
              </w:rPr>
            </w:pPr>
            <w:r>
              <w:t>35%</w:t>
            </w:r>
          </w:p>
        </w:tc>
        <w:tc>
          <w:tcPr>
            <w:tcW w:w="810" w:type="dxa"/>
          </w:tcPr>
          <w:p w14:paraId="263416A3" w14:textId="77777777" w:rsidR="00817793" w:rsidRDefault="002719FC">
            <w:pPr>
              <w:spacing w:before="120" w:after="120"/>
              <w:jc w:val="center"/>
              <w:rPr>
                <w:b/>
              </w:rPr>
            </w:pPr>
            <w:r>
              <w:t>40%</w:t>
            </w:r>
          </w:p>
        </w:tc>
        <w:tc>
          <w:tcPr>
            <w:tcW w:w="780" w:type="dxa"/>
          </w:tcPr>
          <w:p w14:paraId="757FF80B" w14:textId="77777777" w:rsidR="00817793" w:rsidRDefault="002719FC">
            <w:pPr>
              <w:spacing w:before="120" w:after="120"/>
              <w:jc w:val="center"/>
              <w:rPr>
                <w:b/>
              </w:rPr>
            </w:pPr>
            <w:r>
              <w:t>45%</w:t>
            </w:r>
          </w:p>
        </w:tc>
      </w:tr>
      <w:tr w:rsidR="00817793" w14:paraId="1B688833" w14:textId="77777777">
        <w:trPr>
          <w:trHeight w:val="300"/>
          <w:jc w:val="center"/>
        </w:trPr>
        <w:tc>
          <w:tcPr>
            <w:tcW w:w="2895" w:type="dxa"/>
          </w:tcPr>
          <w:p w14:paraId="156D0CE6" w14:textId="77777777" w:rsidR="00817793" w:rsidRDefault="002719FC">
            <w:pPr>
              <w:spacing w:before="120" w:after="120"/>
              <w:jc w:val="left"/>
            </w:pPr>
            <w:r>
              <w:lastRenderedPageBreak/>
              <w:t xml:space="preserve">Sem </w:t>
            </w:r>
            <w:proofErr w:type="spellStart"/>
            <w:r>
              <w:t>anifrolumabe</w:t>
            </w:r>
            <w:proofErr w:type="spellEnd"/>
          </w:p>
        </w:tc>
        <w:tc>
          <w:tcPr>
            <w:tcW w:w="900" w:type="dxa"/>
          </w:tcPr>
          <w:p w14:paraId="78DD41F2" w14:textId="77777777" w:rsidR="00817793" w:rsidRDefault="002719FC">
            <w:pPr>
              <w:spacing w:before="120" w:after="120"/>
              <w:jc w:val="center"/>
              <w:rPr>
                <w:b/>
              </w:rPr>
            </w:pPr>
            <w:r>
              <w:t>75%</w:t>
            </w:r>
          </w:p>
        </w:tc>
        <w:tc>
          <w:tcPr>
            <w:tcW w:w="930" w:type="dxa"/>
          </w:tcPr>
          <w:p w14:paraId="00697F6D" w14:textId="77777777" w:rsidR="00817793" w:rsidRDefault="002719FC">
            <w:pPr>
              <w:spacing w:before="120" w:after="120"/>
              <w:jc w:val="center"/>
              <w:rPr>
                <w:b/>
              </w:rPr>
            </w:pPr>
            <w:r>
              <w:t>70%</w:t>
            </w:r>
          </w:p>
        </w:tc>
        <w:tc>
          <w:tcPr>
            <w:tcW w:w="765" w:type="dxa"/>
          </w:tcPr>
          <w:p w14:paraId="62B37E15" w14:textId="77777777" w:rsidR="00817793" w:rsidRDefault="002719FC">
            <w:pPr>
              <w:spacing w:before="120" w:after="120"/>
              <w:jc w:val="center"/>
              <w:rPr>
                <w:b/>
              </w:rPr>
            </w:pPr>
            <w:r>
              <w:t>65%</w:t>
            </w:r>
          </w:p>
        </w:tc>
        <w:tc>
          <w:tcPr>
            <w:tcW w:w="810" w:type="dxa"/>
          </w:tcPr>
          <w:p w14:paraId="184D513D" w14:textId="77777777" w:rsidR="00817793" w:rsidRDefault="002719FC">
            <w:pPr>
              <w:spacing w:before="120" w:after="120"/>
              <w:jc w:val="center"/>
              <w:rPr>
                <w:b/>
              </w:rPr>
            </w:pPr>
            <w:r>
              <w:t>60%</w:t>
            </w:r>
          </w:p>
        </w:tc>
        <w:tc>
          <w:tcPr>
            <w:tcW w:w="780" w:type="dxa"/>
          </w:tcPr>
          <w:p w14:paraId="052A8AFF" w14:textId="77777777" w:rsidR="00817793" w:rsidRDefault="002719FC">
            <w:pPr>
              <w:spacing w:before="120" w:after="120"/>
              <w:jc w:val="center"/>
              <w:rPr>
                <w:b/>
              </w:rPr>
            </w:pPr>
            <w:r>
              <w:t>55%</w:t>
            </w:r>
          </w:p>
        </w:tc>
      </w:tr>
      <w:tr w:rsidR="00817793" w14:paraId="2C3AC852" w14:textId="77777777">
        <w:trPr>
          <w:trHeight w:val="300"/>
          <w:jc w:val="center"/>
        </w:trPr>
        <w:tc>
          <w:tcPr>
            <w:tcW w:w="2895" w:type="dxa"/>
          </w:tcPr>
          <w:p w14:paraId="70B01D24" w14:textId="77777777" w:rsidR="00817793" w:rsidRDefault="002719FC">
            <w:pPr>
              <w:spacing w:before="120" w:after="120"/>
              <w:jc w:val="center"/>
              <w:rPr>
                <w:b/>
              </w:rPr>
            </w:pPr>
            <w:r>
              <w:rPr>
                <w:b/>
              </w:rPr>
              <w:t>Cenário C – projetado</w:t>
            </w:r>
          </w:p>
        </w:tc>
        <w:tc>
          <w:tcPr>
            <w:tcW w:w="900" w:type="dxa"/>
          </w:tcPr>
          <w:p w14:paraId="1347F30C" w14:textId="77777777" w:rsidR="00817793" w:rsidRDefault="002719FC">
            <w:pPr>
              <w:spacing w:before="120" w:after="120"/>
              <w:jc w:val="center"/>
              <w:rPr>
                <w:b/>
              </w:rPr>
            </w:pPr>
            <w:r>
              <w:rPr>
                <w:b/>
              </w:rPr>
              <w:t>Ano 1</w:t>
            </w:r>
          </w:p>
        </w:tc>
        <w:tc>
          <w:tcPr>
            <w:tcW w:w="930" w:type="dxa"/>
          </w:tcPr>
          <w:p w14:paraId="61B98671" w14:textId="77777777" w:rsidR="00817793" w:rsidRDefault="002719FC">
            <w:pPr>
              <w:spacing w:before="120" w:after="120"/>
              <w:jc w:val="center"/>
              <w:rPr>
                <w:b/>
              </w:rPr>
            </w:pPr>
            <w:r>
              <w:rPr>
                <w:b/>
              </w:rPr>
              <w:t>Ano 2</w:t>
            </w:r>
          </w:p>
        </w:tc>
        <w:tc>
          <w:tcPr>
            <w:tcW w:w="765" w:type="dxa"/>
          </w:tcPr>
          <w:p w14:paraId="5DBB0B4D" w14:textId="77777777" w:rsidR="00817793" w:rsidRDefault="002719FC">
            <w:pPr>
              <w:spacing w:before="120" w:after="120"/>
              <w:jc w:val="center"/>
              <w:rPr>
                <w:b/>
              </w:rPr>
            </w:pPr>
            <w:r>
              <w:rPr>
                <w:b/>
              </w:rPr>
              <w:t>Ano 3</w:t>
            </w:r>
          </w:p>
        </w:tc>
        <w:tc>
          <w:tcPr>
            <w:tcW w:w="810" w:type="dxa"/>
          </w:tcPr>
          <w:p w14:paraId="0B693891" w14:textId="77777777" w:rsidR="00817793" w:rsidRDefault="002719FC">
            <w:pPr>
              <w:spacing w:before="120" w:after="120"/>
              <w:jc w:val="center"/>
              <w:rPr>
                <w:b/>
              </w:rPr>
            </w:pPr>
            <w:r>
              <w:rPr>
                <w:b/>
              </w:rPr>
              <w:t>Ano 4</w:t>
            </w:r>
          </w:p>
        </w:tc>
        <w:tc>
          <w:tcPr>
            <w:tcW w:w="780" w:type="dxa"/>
          </w:tcPr>
          <w:p w14:paraId="656EE891" w14:textId="77777777" w:rsidR="00817793" w:rsidRDefault="002719FC">
            <w:pPr>
              <w:spacing w:before="120" w:after="120"/>
              <w:jc w:val="center"/>
              <w:rPr>
                <w:b/>
              </w:rPr>
            </w:pPr>
            <w:r>
              <w:rPr>
                <w:b/>
              </w:rPr>
              <w:t>Ano 5</w:t>
            </w:r>
          </w:p>
        </w:tc>
      </w:tr>
      <w:tr w:rsidR="00817793" w14:paraId="0F25F6CA" w14:textId="77777777">
        <w:trPr>
          <w:trHeight w:val="300"/>
          <w:jc w:val="center"/>
        </w:trPr>
        <w:tc>
          <w:tcPr>
            <w:tcW w:w="2895" w:type="dxa"/>
          </w:tcPr>
          <w:p w14:paraId="088AEFD3" w14:textId="77777777" w:rsidR="00817793" w:rsidRDefault="002719FC">
            <w:pPr>
              <w:spacing w:before="120" w:after="120"/>
              <w:jc w:val="left"/>
            </w:pPr>
            <w:r>
              <w:t xml:space="preserve">Com </w:t>
            </w:r>
            <w:proofErr w:type="spellStart"/>
            <w:r>
              <w:t>anifrolumabe</w:t>
            </w:r>
            <w:proofErr w:type="spellEnd"/>
          </w:p>
        </w:tc>
        <w:tc>
          <w:tcPr>
            <w:tcW w:w="900" w:type="dxa"/>
          </w:tcPr>
          <w:p w14:paraId="7A344C63" w14:textId="77777777" w:rsidR="00817793" w:rsidRDefault="002719FC">
            <w:pPr>
              <w:spacing w:before="120" w:after="120"/>
              <w:jc w:val="center"/>
            </w:pPr>
            <w:r>
              <w:t>40%</w:t>
            </w:r>
          </w:p>
        </w:tc>
        <w:tc>
          <w:tcPr>
            <w:tcW w:w="930" w:type="dxa"/>
          </w:tcPr>
          <w:p w14:paraId="3A174C5D" w14:textId="77777777" w:rsidR="00817793" w:rsidRDefault="002719FC">
            <w:pPr>
              <w:spacing w:before="120" w:after="120"/>
              <w:jc w:val="center"/>
            </w:pPr>
            <w:r>
              <w:t>50%</w:t>
            </w:r>
          </w:p>
        </w:tc>
        <w:tc>
          <w:tcPr>
            <w:tcW w:w="765" w:type="dxa"/>
          </w:tcPr>
          <w:p w14:paraId="4E8D77EE" w14:textId="77777777" w:rsidR="00817793" w:rsidRDefault="002719FC">
            <w:pPr>
              <w:spacing w:before="120" w:after="120"/>
              <w:jc w:val="center"/>
            </w:pPr>
            <w:r>
              <w:t>60%</w:t>
            </w:r>
          </w:p>
        </w:tc>
        <w:tc>
          <w:tcPr>
            <w:tcW w:w="810" w:type="dxa"/>
          </w:tcPr>
          <w:p w14:paraId="7628A188" w14:textId="77777777" w:rsidR="00817793" w:rsidRDefault="002719FC">
            <w:pPr>
              <w:spacing w:before="120" w:after="120"/>
              <w:jc w:val="center"/>
            </w:pPr>
            <w:r>
              <w:t>70%</w:t>
            </w:r>
          </w:p>
        </w:tc>
        <w:tc>
          <w:tcPr>
            <w:tcW w:w="780" w:type="dxa"/>
          </w:tcPr>
          <w:p w14:paraId="1008D354" w14:textId="77777777" w:rsidR="00817793" w:rsidRDefault="002719FC">
            <w:pPr>
              <w:spacing w:before="120" w:after="120"/>
              <w:jc w:val="center"/>
            </w:pPr>
            <w:r>
              <w:t>80%</w:t>
            </w:r>
          </w:p>
        </w:tc>
      </w:tr>
      <w:tr w:rsidR="00817793" w14:paraId="2E9040AE" w14:textId="77777777">
        <w:trPr>
          <w:trHeight w:val="300"/>
          <w:jc w:val="center"/>
        </w:trPr>
        <w:tc>
          <w:tcPr>
            <w:tcW w:w="2895" w:type="dxa"/>
          </w:tcPr>
          <w:p w14:paraId="57AEA201" w14:textId="77777777" w:rsidR="00817793" w:rsidRDefault="002719FC">
            <w:pPr>
              <w:spacing w:before="120" w:after="120"/>
              <w:jc w:val="left"/>
            </w:pPr>
            <w:r>
              <w:t xml:space="preserve">Sem </w:t>
            </w:r>
            <w:proofErr w:type="spellStart"/>
            <w:r>
              <w:t>anifrolumabe</w:t>
            </w:r>
            <w:proofErr w:type="spellEnd"/>
          </w:p>
        </w:tc>
        <w:tc>
          <w:tcPr>
            <w:tcW w:w="900" w:type="dxa"/>
          </w:tcPr>
          <w:p w14:paraId="67611782" w14:textId="77777777" w:rsidR="00817793" w:rsidRDefault="002719FC">
            <w:pPr>
              <w:spacing w:before="120" w:after="120"/>
              <w:jc w:val="center"/>
            </w:pPr>
            <w:r>
              <w:t>60%</w:t>
            </w:r>
          </w:p>
        </w:tc>
        <w:tc>
          <w:tcPr>
            <w:tcW w:w="930" w:type="dxa"/>
          </w:tcPr>
          <w:p w14:paraId="292DB4B9" w14:textId="77777777" w:rsidR="00817793" w:rsidRDefault="002719FC">
            <w:pPr>
              <w:spacing w:before="120" w:after="120"/>
              <w:jc w:val="center"/>
            </w:pPr>
            <w:r>
              <w:t>50%</w:t>
            </w:r>
          </w:p>
        </w:tc>
        <w:tc>
          <w:tcPr>
            <w:tcW w:w="765" w:type="dxa"/>
          </w:tcPr>
          <w:p w14:paraId="7CD518F5" w14:textId="77777777" w:rsidR="00817793" w:rsidRDefault="002719FC">
            <w:pPr>
              <w:spacing w:before="120" w:after="120"/>
              <w:jc w:val="center"/>
            </w:pPr>
            <w:r>
              <w:t>40%</w:t>
            </w:r>
          </w:p>
        </w:tc>
        <w:tc>
          <w:tcPr>
            <w:tcW w:w="810" w:type="dxa"/>
          </w:tcPr>
          <w:p w14:paraId="4C664BD0" w14:textId="77777777" w:rsidR="00817793" w:rsidRDefault="002719FC">
            <w:pPr>
              <w:spacing w:before="120" w:after="120"/>
              <w:jc w:val="center"/>
            </w:pPr>
            <w:r>
              <w:t>30%</w:t>
            </w:r>
          </w:p>
        </w:tc>
        <w:tc>
          <w:tcPr>
            <w:tcW w:w="780" w:type="dxa"/>
          </w:tcPr>
          <w:p w14:paraId="17DCED26" w14:textId="77777777" w:rsidR="00817793" w:rsidRDefault="002719FC">
            <w:pPr>
              <w:spacing w:before="120" w:after="120"/>
              <w:jc w:val="center"/>
            </w:pPr>
            <w:r>
              <w:t>20%</w:t>
            </w:r>
          </w:p>
        </w:tc>
      </w:tr>
      <w:tr w:rsidR="00817793" w14:paraId="4D032009" w14:textId="77777777">
        <w:trPr>
          <w:trHeight w:val="300"/>
          <w:jc w:val="center"/>
        </w:trPr>
        <w:tc>
          <w:tcPr>
            <w:tcW w:w="2895" w:type="dxa"/>
          </w:tcPr>
          <w:p w14:paraId="2DE71486" w14:textId="77777777" w:rsidR="00817793" w:rsidRDefault="002719FC">
            <w:pPr>
              <w:spacing w:before="120" w:after="120"/>
              <w:jc w:val="center"/>
              <w:rPr>
                <w:b/>
              </w:rPr>
            </w:pPr>
            <w:r>
              <w:rPr>
                <w:b/>
              </w:rPr>
              <w:t>Cenário D – projetado</w:t>
            </w:r>
          </w:p>
        </w:tc>
        <w:tc>
          <w:tcPr>
            <w:tcW w:w="900" w:type="dxa"/>
          </w:tcPr>
          <w:p w14:paraId="0AF076BE" w14:textId="77777777" w:rsidR="00817793" w:rsidRDefault="002719FC">
            <w:pPr>
              <w:spacing w:before="120" w:after="120"/>
              <w:jc w:val="center"/>
              <w:rPr>
                <w:b/>
              </w:rPr>
            </w:pPr>
            <w:r>
              <w:rPr>
                <w:b/>
              </w:rPr>
              <w:t>Ano 1</w:t>
            </w:r>
          </w:p>
        </w:tc>
        <w:tc>
          <w:tcPr>
            <w:tcW w:w="930" w:type="dxa"/>
          </w:tcPr>
          <w:p w14:paraId="213AFFAC" w14:textId="77777777" w:rsidR="00817793" w:rsidRDefault="002719FC">
            <w:pPr>
              <w:spacing w:before="120" w:after="120"/>
              <w:jc w:val="center"/>
              <w:rPr>
                <w:b/>
              </w:rPr>
            </w:pPr>
            <w:r>
              <w:rPr>
                <w:b/>
              </w:rPr>
              <w:t>Ano 2</w:t>
            </w:r>
          </w:p>
        </w:tc>
        <w:tc>
          <w:tcPr>
            <w:tcW w:w="765" w:type="dxa"/>
          </w:tcPr>
          <w:p w14:paraId="414D9B5B" w14:textId="77777777" w:rsidR="00817793" w:rsidRDefault="002719FC">
            <w:pPr>
              <w:spacing w:before="120" w:after="120"/>
              <w:jc w:val="center"/>
              <w:rPr>
                <w:b/>
              </w:rPr>
            </w:pPr>
            <w:r>
              <w:rPr>
                <w:b/>
              </w:rPr>
              <w:t>Ano 3</w:t>
            </w:r>
          </w:p>
        </w:tc>
        <w:tc>
          <w:tcPr>
            <w:tcW w:w="810" w:type="dxa"/>
          </w:tcPr>
          <w:p w14:paraId="266710D8" w14:textId="77777777" w:rsidR="00817793" w:rsidRDefault="002719FC">
            <w:pPr>
              <w:spacing w:before="120" w:after="120"/>
              <w:jc w:val="center"/>
              <w:rPr>
                <w:b/>
              </w:rPr>
            </w:pPr>
            <w:r>
              <w:rPr>
                <w:b/>
              </w:rPr>
              <w:t>Ano 4</w:t>
            </w:r>
          </w:p>
        </w:tc>
        <w:tc>
          <w:tcPr>
            <w:tcW w:w="780" w:type="dxa"/>
          </w:tcPr>
          <w:p w14:paraId="68385275" w14:textId="77777777" w:rsidR="00817793" w:rsidRDefault="002719FC">
            <w:pPr>
              <w:spacing w:before="120" w:after="120"/>
              <w:jc w:val="center"/>
              <w:rPr>
                <w:b/>
              </w:rPr>
            </w:pPr>
            <w:r>
              <w:rPr>
                <w:b/>
              </w:rPr>
              <w:t>Ano 5</w:t>
            </w:r>
          </w:p>
        </w:tc>
      </w:tr>
      <w:tr w:rsidR="00817793" w14:paraId="5113149D" w14:textId="77777777">
        <w:trPr>
          <w:trHeight w:val="300"/>
          <w:jc w:val="center"/>
        </w:trPr>
        <w:tc>
          <w:tcPr>
            <w:tcW w:w="2895" w:type="dxa"/>
          </w:tcPr>
          <w:p w14:paraId="614200BE" w14:textId="77777777" w:rsidR="00817793" w:rsidRDefault="002719FC">
            <w:pPr>
              <w:spacing w:before="120" w:after="120"/>
              <w:jc w:val="left"/>
            </w:pPr>
            <w:r>
              <w:t xml:space="preserve">Com </w:t>
            </w:r>
            <w:proofErr w:type="spellStart"/>
            <w:r>
              <w:t>anifrolumabe</w:t>
            </w:r>
            <w:proofErr w:type="spellEnd"/>
          </w:p>
        </w:tc>
        <w:tc>
          <w:tcPr>
            <w:tcW w:w="900" w:type="dxa"/>
          </w:tcPr>
          <w:p w14:paraId="33E27760" w14:textId="77777777" w:rsidR="00817793" w:rsidRDefault="002719FC">
            <w:pPr>
              <w:spacing w:before="120" w:after="120"/>
              <w:jc w:val="center"/>
            </w:pPr>
            <w:r>
              <w:t>15%</w:t>
            </w:r>
          </w:p>
        </w:tc>
        <w:tc>
          <w:tcPr>
            <w:tcW w:w="930" w:type="dxa"/>
          </w:tcPr>
          <w:p w14:paraId="6110DE51" w14:textId="77777777" w:rsidR="00817793" w:rsidRDefault="002719FC">
            <w:pPr>
              <w:spacing w:before="120" w:after="120"/>
              <w:jc w:val="center"/>
            </w:pPr>
            <w:r>
              <w:t>17,5%</w:t>
            </w:r>
          </w:p>
        </w:tc>
        <w:tc>
          <w:tcPr>
            <w:tcW w:w="765" w:type="dxa"/>
          </w:tcPr>
          <w:p w14:paraId="2C874B54" w14:textId="77777777" w:rsidR="00817793" w:rsidRDefault="002719FC">
            <w:pPr>
              <w:spacing w:before="120" w:after="120"/>
              <w:jc w:val="center"/>
            </w:pPr>
            <w:r>
              <w:t>20%</w:t>
            </w:r>
          </w:p>
        </w:tc>
        <w:tc>
          <w:tcPr>
            <w:tcW w:w="810" w:type="dxa"/>
          </w:tcPr>
          <w:p w14:paraId="3F432F16" w14:textId="77777777" w:rsidR="00817793" w:rsidRDefault="002719FC">
            <w:pPr>
              <w:spacing w:before="120" w:after="120"/>
              <w:jc w:val="center"/>
            </w:pPr>
            <w:r>
              <w:t>22,5%</w:t>
            </w:r>
          </w:p>
        </w:tc>
        <w:tc>
          <w:tcPr>
            <w:tcW w:w="780" w:type="dxa"/>
          </w:tcPr>
          <w:p w14:paraId="4137B3FB" w14:textId="77777777" w:rsidR="00817793" w:rsidRDefault="002719FC">
            <w:pPr>
              <w:spacing w:before="120" w:after="120"/>
              <w:jc w:val="center"/>
            </w:pPr>
            <w:r>
              <w:t>25%</w:t>
            </w:r>
          </w:p>
        </w:tc>
      </w:tr>
      <w:tr w:rsidR="00817793" w14:paraId="61E4C6E1" w14:textId="77777777">
        <w:trPr>
          <w:trHeight w:val="300"/>
          <w:jc w:val="center"/>
        </w:trPr>
        <w:tc>
          <w:tcPr>
            <w:tcW w:w="2895" w:type="dxa"/>
          </w:tcPr>
          <w:p w14:paraId="0AA40383" w14:textId="77777777" w:rsidR="00817793" w:rsidRDefault="002719FC">
            <w:pPr>
              <w:spacing w:before="120" w:after="120"/>
              <w:jc w:val="left"/>
            </w:pPr>
            <w:r>
              <w:t xml:space="preserve">Sem </w:t>
            </w:r>
            <w:proofErr w:type="spellStart"/>
            <w:r>
              <w:t>anifrolumabe</w:t>
            </w:r>
            <w:proofErr w:type="spellEnd"/>
          </w:p>
        </w:tc>
        <w:tc>
          <w:tcPr>
            <w:tcW w:w="900" w:type="dxa"/>
          </w:tcPr>
          <w:p w14:paraId="70E5E123" w14:textId="77777777" w:rsidR="00817793" w:rsidRDefault="002719FC">
            <w:pPr>
              <w:spacing w:before="120" w:after="120"/>
              <w:jc w:val="center"/>
            </w:pPr>
            <w:r>
              <w:t>85%</w:t>
            </w:r>
          </w:p>
        </w:tc>
        <w:tc>
          <w:tcPr>
            <w:tcW w:w="930" w:type="dxa"/>
          </w:tcPr>
          <w:p w14:paraId="357BD09F" w14:textId="77777777" w:rsidR="00817793" w:rsidRDefault="002719FC">
            <w:pPr>
              <w:spacing w:before="120" w:after="120"/>
              <w:jc w:val="center"/>
            </w:pPr>
            <w:r>
              <w:t>82,5%</w:t>
            </w:r>
          </w:p>
        </w:tc>
        <w:tc>
          <w:tcPr>
            <w:tcW w:w="765" w:type="dxa"/>
          </w:tcPr>
          <w:p w14:paraId="41D7107C" w14:textId="77777777" w:rsidR="00817793" w:rsidRDefault="002719FC">
            <w:pPr>
              <w:spacing w:before="120" w:after="120"/>
              <w:jc w:val="center"/>
            </w:pPr>
            <w:r>
              <w:t>80%</w:t>
            </w:r>
          </w:p>
        </w:tc>
        <w:tc>
          <w:tcPr>
            <w:tcW w:w="810" w:type="dxa"/>
          </w:tcPr>
          <w:p w14:paraId="779C676B" w14:textId="77777777" w:rsidR="00817793" w:rsidRDefault="002719FC">
            <w:pPr>
              <w:spacing w:before="120" w:after="120"/>
              <w:jc w:val="center"/>
            </w:pPr>
            <w:r>
              <w:t>77,5%</w:t>
            </w:r>
          </w:p>
        </w:tc>
        <w:tc>
          <w:tcPr>
            <w:tcW w:w="780" w:type="dxa"/>
          </w:tcPr>
          <w:p w14:paraId="5D8D2F8D" w14:textId="77777777" w:rsidR="00817793" w:rsidRDefault="002719FC">
            <w:pPr>
              <w:spacing w:before="120" w:after="120"/>
              <w:jc w:val="center"/>
            </w:pPr>
            <w:r>
              <w:t>75%</w:t>
            </w:r>
          </w:p>
        </w:tc>
      </w:tr>
    </w:tbl>
    <w:p w14:paraId="1AC5CDBE" w14:textId="77777777" w:rsidR="00817793" w:rsidRDefault="00817793">
      <w:pPr>
        <w:pStyle w:val="Ttulo4"/>
        <w:jc w:val="left"/>
        <w:rPr>
          <w:b/>
        </w:rPr>
      </w:pPr>
      <w:bookmarkStart w:id="66" w:name="_nd51lhxbiy5n" w:colFirst="0" w:colLast="0"/>
      <w:bookmarkEnd w:id="66"/>
    </w:p>
    <w:p w14:paraId="4819AFDB" w14:textId="77777777" w:rsidR="00817793" w:rsidRDefault="002719FC">
      <w:pPr>
        <w:pStyle w:val="Ttulo4"/>
      </w:pPr>
      <w:bookmarkStart w:id="67" w:name="_fvrx7ramyrgc" w:colFirst="0" w:colLast="0"/>
      <w:bookmarkEnd w:id="67"/>
      <w:r>
        <w:rPr>
          <w:b/>
        </w:rPr>
        <w:t>Quadro 29.</w:t>
      </w:r>
      <w:r>
        <w:t xml:space="preserve">  Progressão estimada de participação no mercado apresentada pelo PARECERISTA.</w:t>
      </w:r>
    </w:p>
    <w:tbl>
      <w:tblPr>
        <w:tblStyle w:val="afff0"/>
        <w:tblW w:w="696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030"/>
        <w:gridCol w:w="795"/>
        <w:gridCol w:w="795"/>
        <w:gridCol w:w="780"/>
        <w:gridCol w:w="780"/>
        <w:gridCol w:w="780"/>
      </w:tblGrid>
      <w:tr w:rsidR="00817793" w14:paraId="070304C5" w14:textId="77777777">
        <w:trPr>
          <w:trHeight w:val="300"/>
          <w:jc w:val="center"/>
        </w:trPr>
        <w:tc>
          <w:tcPr>
            <w:tcW w:w="3030" w:type="dxa"/>
            <w:shd w:val="clear" w:color="auto" w:fill="D9E2F3"/>
          </w:tcPr>
          <w:p w14:paraId="0415797D" w14:textId="77777777" w:rsidR="00817793" w:rsidRDefault="002719FC">
            <w:pPr>
              <w:spacing w:before="120" w:after="120"/>
              <w:jc w:val="center"/>
              <w:rPr>
                <w:b/>
              </w:rPr>
            </w:pPr>
            <w:r>
              <w:rPr>
                <w:b/>
              </w:rPr>
              <w:t>Cenário A – atual</w:t>
            </w:r>
          </w:p>
        </w:tc>
        <w:tc>
          <w:tcPr>
            <w:tcW w:w="795" w:type="dxa"/>
            <w:shd w:val="clear" w:color="auto" w:fill="D9E2F3"/>
          </w:tcPr>
          <w:p w14:paraId="731116AB" w14:textId="77777777" w:rsidR="00817793" w:rsidRDefault="002719FC">
            <w:pPr>
              <w:spacing w:before="120" w:after="120"/>
              <w:jc w:val="center"/>
              <w:rPr>
                <w:b/>
              </w:rPr>
            </w:pPr>
            <w:r>
              <w:rPr>
                <w:b/>
              </w:rPr>
              <w:t>Ano 1</w:t>
            </w:r>
          </w:p>
        </w:tc>
        <w:tc>
          <w:tcPr>
            <w:tcW w:w="795" w:type="dxa"/>
            <w:shd w:val="clear" w:color="auto" w:fill="D9E2F3"/>
          </w:tcPr>
          <w:p w14:paraId="22BCF075" w14:textId="77777777" w:rsidR="00817793" w:rsidRDefault="002719FC">
            <w:pPr>
              <w:spacing w:before="120" w:after="120"/>
              <w:jc w:val="center"/>
              <w:rPr>
                <w:b/>
              </w:rPr>
            </w:pPr>
            <w:r>
              <w:rPr>
                <w:b/>
              </w:rPr>
              <w:t>Ano 2</w:t>
            </w:r>
          </w:p>
        </w:tc>
        <w:tc>
          <w:tcPr>
            <w:tcW w:w="780" w:type="dxa"/>
            <w:shd w:val="clear" w:color="auto" w:fill="D9E2F3"/>
          </w:tcPr>
          <w:p w14:paraId="1CD8D5DF" w14:textId="77777777" w:rsidR="00817793" w:rsidRDefault="002719FC">
            <w:pPr>
              <w:spacing w:before="120" w:after="120"/>
              <w:jc w:val="center"/>
              <w:rPr>
                <w:b/>
              </w:rPr>
            </w:pPr>
            <w:r>
              <w:rPr>
                <w:b/>
              </w:rPr>
              <w:t>Ano 3</w:t>
            </w:r>
          </w:p>
        </w:tc>
        <w:tc>
          <w:tcPr>
            <w:tcW w:w="780" w:type="dxa"/>
            <w:shd w:val="clear" w:color="auto" w:fill="D9E2F3"/>
          </w:tcPr>
          <w:p w14:paraId="71D21B50" w14:textId="77777777" w:rsidR="00817793" w:rsidRDefault="002719FC">
            <w:pPr>
              <w:spacing w:before="120" w:after="120"/>
              <w:jc w:val="center"/>
              <w:rPr>
                <w:b/>
              </w:rPr>
            </w:pPr>
            <w:r>
              <w:rPr>
                <w:b/>
              </w:rPr>
              <w:t>Ano 4</w:t>
            </w:r>
          </w:p>
        </w:tc>
        <w:tc>
          <w:tcPr>
            <w:tcW w:w="780" w:type="dxa"/>
            <w:shd w:val="clear" w:color="auto" w:fill="D9E2F3"/>
          </w:tcPr>
          <w:p w14:paraId="1BA21172" w14:textId="77777777" w:rsidR="00817793" w:rsidRDefault="002719FC">
            <w:pPr>
              <w:spacing w:before="120" w:after="120"/>
              <w:jc w:val="center"/>
              <w:rPr>
                <w:b/>
              </w:rPr>
            </w:pPr>
            <w:r>
              <w:rPr>
                <w:b/>
              </w:rPr>
              <w:t>Ano 5</w:t>
            </w:r>
          </w:p>
        </w:tc>
      </w:tr>
      <w:tr w:rsidR="00817793" w14:paraId="608E9942" w14:textId="77777777">
        <w:trPr>
          <w:trHeight w:val="300"/>
          <w:jc w:val="center"/>
        </w:trPr>
        <w:tc>
          <w:tcPr>
            <w:tcW w:w="3030" w:type="dxa"/>
          </w:tcPr>
          <w:p w14:paraId="684C83CA" w14:textId="77777777" w:rsidR="00817793" w:rsidRDefault="002719FC">
            <w:pPr>
              <w:spacing w:before="120" w:after="120"/>
              <w:jc w:val="left"/>
            </w:pPr>
            <w:r>
              <w:t xml:space="preserve">Com </w:t>
            </w:r>
            <w:proofErr w:type="spellStart"/>
            <w:r>
              <w:t>anifrolumabe</w:t>
            </w:r>
            <w:proofErr w:type="spellEnd"/>
          </w:p>
        </w:tc>
        <w:tc>
          <w:tcPr>
            <w:tcW w:w="795" w:type="dxa"/>
          </w:tcPr>
          <w:p w14:paraId="5B385FE2" w14:textId="77777777" w:rsidR="00817793" w:rsidRDefault="002719FC">
            <w:pPr>
              <w:spacing w:before="120" w:after="120"/>
              <w:jc w:val="center"/>
              <w:rPr>
                <w:b/>
              </w:rPr>
            </w:pPr>
            <w:r>
              <w:t>0%</w:t>
            </w:r>
          </w:p>
        </w:tc>
        <w:tc>
          <w:tcPr>
            <w:tcW w:w="795" w:type="dxa"/>
          </w:tcPr>
          <w:p w14:paraId="0C7C4B8A" w14:textId="77777777" w:rsidR="00817793" w:rsidRDefault="002719FC">
            <w:pPr>
              <w:spacing w:before="120" w:after="120"/>
              <w:jc w:val="center"/>
              <w:rPr>
                <w:b/>
              </w:rPr>
            </w:pPr>
            <w:r>
              <w:t>0%</w:t>
            </w:r>
          </w:p>
        </w:tc>
        <w:tc>
          <w:tcPr>
            <w:tcW w:w="780" w:type="dxa"/>
          </w:tcPr>
          <w:p w14:paraId="1BEFDE1A" w14:textId="77777777" w:rsidR="00817793" w:rsidRDefault="002719FC">
            <w:pPr>
              <w:spacing w:before="120" w:after="120"/>
              <w:jc w:val="center"/>
              <w:rPr>
                <w:b/>
              </w:rPr>
            </w:pPr>
            <w:r>
              <w:t>0%</w:t>
            </w:r>
          </w:p>
        </w:tc>
        <w:tc>
          <w:tcPr>
            <w:tcW w:w="780" w:type="dxa"/>
          </w:tcPr>
          <w:p w14:paraId="00550101" w14:textId="77777777" w:rsidR="00817793" w:rsidRDefault="002719FC">
            <w:pPr>
              <w:spacing w:before="120" w:after="120"/>
              <w:jc w:val="center"/>
              <w:rPr>
                <w:b/>
              </w:rPr>
            </w:pPr>
            <w:r>
              <w:t>0%</w:t>
            </w:r>
          </w:p>
        </w:tc>
        <w:tc>
          <w:tcPr>
            <w:tcW w:w="780" w:type="dxa"/>
          </w:tcPr>
          <w:p w14:paraId="0A65C63F" w14:textId="77777777" w:rsidR="00817793" w:rsidRDefault="002719FC">
            <w:pPr>
              <w:spacing w:before="120" w:after="120"/>
              <w:jc w:val="center"/>
              <w:rPr>
                <w:b/>
              </w:rPr>
            </w:pPr>
            <w:r>
              <w:t>0%</w:t>
            </w:r>
          </w:p>
        </w:tc>
      </w:tr>
      <w:tr w:rsidR="00817793" w14:paraId="0899F93C" w14:textId="77777777">
        <w:trPr>
          <w:trHeight w:val="300"/>
          <w:jc w:val="center"/>
        </w:trPr>
        <w:tc>
          <w:tcPr>
            <w:tcW w:w="3030" w:type="dxa"/>
          </w:tcPr>
          <w:p w14:paraId="2C03076E" w14:textId="77777777" w:rsidR="00817793" w:rsidRDefault="002719FC">
            <w:pPr>
              <w:spacing w:before="120" w:after="120"/>
              <w:jc w:val="left"/>
            </w:pPr>
            <w:r>
              <w:t xml:space="preserve">Sem </w:t>
            </w:r>
            <w:proofErr w:type="spellStart"/>
            <w:r>
              <w:t>anifrolumabe</w:t>
            </w:r>
            <w:proofErr w:type="spellEnd"/>
          </w:p>
        </w:tc>
        <w:tc>
          <w:tcPr>
            <w:tcW w:w="795" w:type="dxa"/>
          </w:tcPr>
          <w:p w14:paraId="39D59C2A" w14:textId="77777777" w:rsidR="00817793" w:rsidRDefault="002719FC">
            <w:pPr>
              <w:spacing w:before="120" w:after="120"/>
              <w:jc w:val="center"/>
            </w:pPr>
            <w:r>
              <w:t>100%</w:t>
            </w:r>
          </w:p>
        </w:tc>
        <w:tc>
          <w:tcPr>
            <w:tcW w:w="795" w:type="dxa"/>
          </w:tcPr>
          <w:p w14:paraId="03D8A5B9" w14:textId="77777777" w:rsidR="00817793" w:rsidRDefault="002719FC">
            <w:pPr>
              <w:spacing w:before="120" w:after="120"/>
              <w:jc w:val="center"/>
            </w:pPr>
            <w:r>
              <w:t>100%</w:t>
            </w:r>
          </w:p>
        </w:tc>
        <w:tc>
          <w:tcPr>
            <w:tcW w:w="780" w:type="dxa"/>
          </w:tcPr>
          <w:p w14:paraId="025B5076" w14:textId="77777777" w:rsidR="00817793" w:rsidRDefault="002719FC">
            <w:pPr>
              <w:spacing w:before="120" w:after="120"/>
              <w:jc w:val="center"/>
            </w:pPr>
            <w:r>
              <w:t>100%</w:t>
            </w:r>
          </w:p>
        </w:tc>
        <w:tc>
          <w:tcPr>
            <w:tcW w:w="780" w:type="dxa"/>
          </w:tcPr>
          <w:p w14:paraId="3B58FD41" w14:textId="77777777" w:rsidR="00817793" w:rsidRDefault="002719FC">
            <w:pPr>
              <w:spacing w:before="120" w:after="120"/>
              <w:jc w:val="center"/>
            </w:pPr>
            <w:r>
              <w:t>100%</w:t>
            </w:r>
          </w:p>
        </w:tc>
        <w:tc>
          <w:tcPr>
            <w:tcW w:w="780" w:type="dxa"/>
          </w:tcPr>
          <w:p w14:paraId="247114ED" w14:textId="77777777" w:rsidR="00817793" w:rsidRDefault="002719FC">
            <w:pPr>
              <w:spacing w:before="120" w:after="120"/>
              <w:jc w:val="center"/>
            </w:pPr>
            <w:r>
              <w:t>100%</w:t>
            </w:r>
          </w:p>
        </w:tc>
      </w:tr>
      <w:tr w:rsidR="00817793" w14:paraId="2D513CC5" w14:textId="77777777">
        <w:trPr>
          <w:trHeight w:val="300"/>
          <w:jc w:val="center"/>
        </w:trPr>
        <w:tc>
          <w:tcPr>
            <w:tcW w:w="3030" w:type="dxa"/>
          </w:tcPr>
          <w:p w14:paraId="69381BFB" w14:textId="77777777" w:rsidR="00817793" w:rsidRDefault="002719FC">
            <w:pPr>
              <w:spacing w:before="120" w:after="120"/>
              <w:jc w:val="center"/>
              <w:rPr>
                <w:b/>
              </w:rPr>
            </w:pPr>
            <w:r>
              <w:rPr>
                <w:b/>
              </w:rPr>
              <w:t>Cenário B – projetado</w:t>
            </w:r>
          </w:p>
        </w:tc>
        <w:tc>
          <w:tcPr>
            <w:tcW w:w="795" w:type="dxa"/>
          </w:tcPr>
          <w:p w14:paraId="1ACEA474" w14:textId="77777777" w:rsidR="00817793" w:rsidRDefault="002719FC">
            <w:pPr>
              <w:spacing w:before="120" w:after="120"/>
              <w:jc w:val="center"/>
              <w:rPr>
                <w:b/>
              </w:rPr>
            </w:pPr>
            <w:r>
              <w:rPr>
                <w:b/>
              </w:rPr>
              <w:t>Ano 1</w:t>
            </w:r>
          </w:p>
        </w:tc>
        <w:tc>
          <w:tcPr>
            <w:tcW w:w="795" w:type="dxa"/>
          </w:tcPr>
          <w:p w14:paraId="54BCF3B4" w14:textId="77777777" w:rsidR="00817793" w:rsidRDefault="002719FC">
            <w:pPr>
              <w:spacing w:before="120" w:after="120"/>
              <w:jc w:val="center"/>
              <w:rPr>
                <w:b/>
              </w:rPr>
            </w:pPr>
            <w:r>
              <w:rPr>
                <w:b/>
              </w:rPr>
              <w:t>Ano 2</w:t>
            </w:r>
          </w:p>
        </w:tc>
        <w:tc>
          <w:tcPr>
            <w:tcW w:w="780" w:type="dxa"/>
          </w:tcPr>
          <w:p w14:paraId="30ABCAEC" w14:textId="77777777" w:rsidR="00817793" w:rsidRDefault="002719FC">
            <w:pPr>
              <w:spacing w:before="120" w:after="120"/>
              <w:jc w:val="center"/>
              <w:rPr>
                <w:b/>
              </w:rPr>
            </w:pPr>
            <w:r>
              <w:rPr>
                <w:b/>
              </w:rPr>
              <w:t>Ano 3</w:t>
            </w:r>
          </w:p>
        </w:tc>
        <w:tc>
          <w:tcPr>
            <w:tcW w:w="780" w:type="dxa"/>
          </w:tcPr>
          <w:p w14:paraId="422DBB5C" w14:textId="77777777" w:rsidR="00817793" w:rsidRDefault="002719FC">
            <w:pPr>
              <w:spacing w:before="120" w:after="120"/>
              <w:jc w:val="center"/>
              <w:rPr>
                <w:b/>
              </w:rPr>
            </w:pPr>
            <w:r>
              <w:rPr>
                <w:b/>
              </w:rPr>
              <w:t>Ano 4</w:t>
            </w:r>
          </w:p>
        </w:tc>
        <w:tc>
          <w:tcPr>
            <w:tcW w:w="780" w:type="dxa"/>
          </w:tcPr>
          <w:p w14:paraId="7A97438C" w14:textId="77777777" w:rsidR="00817793" w:rsidRDefault="002719FC">
            <w:pPr>
              <w:spacing w:before="120" w:after="120"/>
              <w:jc w:val="center"/>
              <w:rPr>
                <w:b/>
              </w:rPr>
            </w:pPr>
            <w:r>
              <w:rPr>
                <w:b/>
              </w:rPr>
              <w:t>Ano 5</w:t>
            </w:r>
          </w:p>
        </w:tc>
      </w:tr>
      <w:tr w:rsidR="00817793" w14:paraId="2BA41EB1" w14:textId="77777777">
        <w:trPr>
          <w:trHeight w:val="300"/>
          <w:jc w:val="center"/>
        </w:trPr>
        <w:tc>
          <w:tcPr>
            <w:tcW w:w="3030" w:type="dxa"/>
          </w:tcPr>
          <w:p w14:paraId="428D2F19" w14:textId="77777777" w:rsidR="00817793" w:rsidRDefault="002719FC">
            <w:pPr>
              <w:spacing w:before="120" w:after="120"/>
              <w:jc w:val="left"/>
            </w:pPr>
            <w:r>
              <w:t xml:space="preserve">Com </w:t>
            </w:r>
            <w:proofErr w:type="spellStart"/>
            <w:r>
              <w:t>anifrolumabe</w:t>
            </w:r>
            <w:proofErr w:type="spellEnd"/>
          </w:p>
        </w:tc>
        <w:tc>
          <w:tcPr>
            <w:tcW w:w="795" w:type="dxa"/>
          </w:tcPr>
          <w:p w14:paraId="24D7D3BE" w14:textId="77777777" w:rsidR="00817793" w:rsidRDefault="002719FC">
            <w:pPr>
              <w:spacing w:before="120" w:after="120"/>
              <w:jc w:val="center"/>
              <w:rPr>
                <w:b/>
              </w:rPr>
            </w:pPr>
            <w:r>
              <w:t>25%</w:t>
            </w:r>
          </w:p>
        </w:tc>
        <w:tc>
          <w:tcPr>
            <w:tcW w:w="795" w:type="dxa"/>
          </w:tcPr>
          <w:p w14:paraId="390207DA" w14:textId="77777777" w:rsidR="00817793" w:rsidRDefault="002719FC">
            <w:pPr>
              <w:spacing w:before="120" w:after="120"/>
              <w:jc w:val="center"/>
              <w:rPr>
                <w:b/>
              </w:rPr>
            </w:pPr>
            <w:r>
              <w:t>30%</w:t>
            </w:r>
          </w:p>
        </w:tc>
        <w:tc>
          <w:tcPr>
            <w:tcW w:w="780" w:type="dxa"/>
          </w:tcPr>
          <w:p w14:paraId="2EDFB66D" w14:textId="77777777" w:rsidR="00817793" w:rsidRDefault="002719FC">
            <w:pPr>
              <w:spacing w:before="120" w:after="120"/>
              <w:jc w:val="center"/>
              <w:rPr>
                <w:b/>
              </w:rPr>
            </w:pPr>
            <w:r>
              <w:t>35%</w:t>
            </w:r>
          </w:p>
        </w:tc>
        <w:tc>
          <w:tcPr>
            <w:tcW w:w="780" w:type="dxa"/>
          </w:tcPr>
          <w:p w14:paraId="5B65A397" w14:textId="77777777" w:rsidR="00817793" w:rsidRDefault="002719FC">
            <w:pPr>
              <w:spacing w:before="120" w:after="120"/>
              <w:jc w:val="center"/>
              <w:rPr>
                <w:b/>
              </w:rPr>
            </w:pPr>
            <w:r>
              <w:t>40%</w:t>
            </w:r>
          </w:p>
        </w:tc>
        <w:tc>
          <w:tcPr>
            <w:tcW w:w="780" w:type="dxa"/>
          </w:tcPr>
          <w:p w14:paraId="4697D846" w14:textId="77777777" w:rsidR="00817793" w:rsidRDefault="002719FC">
            <w:pPr>
              <w:spacing w:before="120" w:after="120"/>
              <w:jc w:val="center"/>
              <w:rPr>
                <w:b/>
              </w:rPr>
            </w:pPr>
            <w:r>
              <w:t>45%</w:t>
            </w:r>
          </w:p>
        </w:tc>
      </w:tr>
      <w:tr w:rsidR="00817793" w14:paraId="4E71F5F4" w14:textId="77777777">
        <w:trPr>
          <w:trHeight w:val="300"/>
          <w:jc w:val="center"/>
        </w:trPr>
        <w:tc>
          <w:tcPr>
            <w:tcW w:w="3030" w:type="dxa"/>
          </w:tcPr>
          <w:p w14:paraId="0F7DD33C" w14:textId="77777777" w:rsidR="00817793" w:rsidRDefault="002719FC">
            <w:pPr>
              <w:spacing w:before="120" w:after="120"/>
              <w:jc w:val="left"/>
            </w:pPr>
            <w:r>
              <w:t xml:space="preserve">Sem </w:t>
            </w:r>
            <w:proofErr w:type="spellStart"/>
            <w:r>
              <w:t>anifrolumabe</w:t>
            </w:r>
            <w:proofErr w:type="spellEnd"/>
          </w:p>
        </w:tc>
        <w:tc>
          <w:tcPr>
            <w:tcW w:w="795" w:type="dxa"/>
          </w:tcPr>
          <w:p w14:paraId="0AF0AFD7" w14:textId="77777777" w:rsidR="00817793" w:rsidRDefault="002719FC">
            <w:pPr>
              <w:spacing w:before="120" w:after="120"/>
              <w:jc w:val="center"/>
              <w:rPr>
                <w:b/>
              </w:rPr>
            </w:pPr>
            <w:r>
              <w:t>75%</w:t>
            </w:r>
          </w:p>
        </w:tc>
        <w:tc>
          <w:tcPr>
            <w:tcW w:w="795" w:type="dxa"/>
          </w:tcPr>
          <w:p w14:paraId="54A2A92F" w14:textId="77777777" w:rsidR="00817793" w:rsidRDefault="002719FC">
            <w:pPr>
              <w:spacing w:before="120" w:after="120"/>
              <w:jc w:val="center"/>
              <w:rPr>
                <w:b/>
              </w:rPr>
            </w:pPr>
            <w:r>
              <w:t>70%</w:t>
            </w:r>
          </w:p>
        </w:tc>
        <w:tc>
          <w:tcPr>
            <w:tcW w:w="780" w:type="dxa"/>
          </w:tcPr>
          <w:p w14:paraId="65C13F6F" w14:textId="77777777" w:rsidR="00817793" w:rsidRDefault="002719FC">
            <w:pPr>
              <w:spacing w:before="120" w:after="120"/>
              <w:jc w:val="center"/>
              <w:rPr>
                <w:b/>
              </w:rPr>
            </w:pPr>
            <w:r>
              <w:t>65%</w:t>
            </w:r>
          </w:p>
        </w:tc>
        <w:tc>
          <w:tcPr>
            <w:tcW w:w="780" w:type="dxa"/>
          </w:tcPr>
          <w:p w14:paraId="0D62CCEA" w14:textId="77777777" w:rsidR="00817793" w:rsidRDefault="002719FC">
            <w:pPr>
              <w:spacing w:before="120" w:after="120"/>
              <w:jc w:val="center"/>
              <w:rPr>
                <w:b/>
              </w:rPr>
            </w:pPr>
            <w:r>
              <w:t>60%</w:t>
            </w:r>
          </w:p>
        </w:tc>
        <w:tc>
          <w:tcPr>
            <w:tcW w:w="780" w:type="dxa"/>
          </w:tcPr>
          <w:p w14:paraId="2CAFFCA4" w14:textId="77777777" w:rsidR="00817793" w:rsidRDefault="002719FC">
            <w:pPr>
              <w:spacing w:before="120" w:after="120"/>
              <w:jc w:val="center"/>
              <w:rPr>
                <w:b/>
              </w:rPr>
            </w:pPr>
            <w:r>
              <w:t>55%</w:t>
            </w:r>
          </w:p>
        </w:tc>
      </w:tr>
      <w:tr w:rsidR="00817793" w14:paraId="6E08D2B4" w14:textId="77777777">
        <w:trPr>
          <w:trHeight w:val="300"/>
          <w:jc w:val="center"/>
        </w:trPr>
        <w:tc>
          <w:tcPr>
            <w:tcW w:w="3030" w:type="dxa"/>
          </w:tcPr>
          <w:p w14:paraId="2391FA37" w14:textId="77777777" w:rsidR="00817793" w:rsidRDefault="002719FC">
            <w:pPr>
              <w:spacing w:before="120" w:after="120"/>
              <w:jc w:val="center"/>
              <w:rPr>
                <w:b/>
              </w:rPr>
            </w:pPr>
            <w:r>
              <w:rPr>
                <w:b/>
              </w:rPr>
              <w:t>Cenário C – projetado</w:t>
            </w:r>
          </w:p>
        </w:tc>
        <w:tc>
          <w:tcPr>
            <w:tcW w:w="795" w:type="dxa"/>
          </w:tcPr>
          <w:p w14:paraId="0174C74D" w14:textId="77777777" w:rsidR="00817793" w:rsidRDefault="002719FC">
            <w:pPr>
              <w:spacing w:before="120" w:after="120"/>
              <w:jc w:val="center"/>
              <w:rPr>
                <w:b/>
              </w:rPr>
            </w:pPr>
            <w:r>
              <w:rPr>
                <w:b/>
              </w:rPr>
              <w:t>Ano 1</w:t>
            </w:r>
          </w:p>
        </w:tc>
        <w:tc>
          <w:tcPr>
            <w:tcW w:w="795" w:type="dxa"/>
          </w:tcPr>
          <w:p w14:paraId="77DCF544" w14:textId="77777777" w:rsidR="00817793" w:rsidRDefault="002719FC">
            <w:pPr>
              <w:spacing w:before="120" w:after="120"/>
              <w:jc w:val="center"/>
              <w:rPr>
                <w:b/>
              </w:rPr>
            </w:pPr>
            <w:r>
              <w:rPr>
                <w:b/>
              </w:rPr>
              <w:t>Ano 2</w:t>
            </w:r>
          </w:p>
        </w:tc>
        <w:tc>
          <w:tcPr>
            <w:tcW w:w="780" w:type="dxa"/>
          </w:tcPr>
          <w:p w14:paraId="0535E6FC" w14:textId="77777777" w:rsidR="00817793" w:rsidRDefault="002719FC">
            <w:pPr>
              <w:spacing w:before="120" w:after="120"/>
              <w:jc w:val="center"/>
              <w:rPr>
                <w:b/>
              </w:rPr>
            </w:pPr>
            <w:r>
              <w:rPr>
                <w:b/>
              </w:rPr>
              <w:t>Ano 3</w:t>
            </w:r>
          </w:p>
        </w:tc>
        <w:tc>
          <w:tcPr>
            <w:tcW w:w="780" w:type="dxa"/>
          </w:tcPr>
          <w:p w14:paraId="570F134B" w14:textId="77777777" w:rsidR="00817793" w:rsidRDefault="002719FC">
            <w:pPr>
              <w:spacing w:before="120" w:after="120"/>
              <w:jc w:val="center"/>
              <w:rPr>
                <w:b/>
              </w:rPr>
            </w:pPr>
            <w:r>
              <w:rPr>
                <w:b/>
              </w:rPr>
              <w:t>Ano 4</w:t>
            </w:r>
          </w:p>
        </w:tc>
        <w:tc>
          <w:tcPr>
            <w:tcW w:w="780" w:type="dxa"/>
          </w:tcPr>
          <w:p w14:paraId="33195CB2" w14:textId="77777777" w:rsidR="00817793" w:rsidRDefault="002719FC">
            <w:pPr>
              <w:spacing w:before="120" w:after="120"/>
              <w:jc w:val="center"/>
              <w:rPr>
                <w:b/>
              </w:rPr>
            </w:pPr>
            <w:r>
              <w:rPr>
                <w:b/>
              </w:rPr>
              <w:t>Ano 5</w:t>
            </w:r>
          </w:p>
        </w:tc>
      </w:tr>
      <w:tr w:rsidR="00817793" w14:paraId="7C4A0B4F" w14:textId="77777777">
        <w:trPr>
          <w:trHeight w:val="300"/>
          <w:jc w:val="center"/>
        </w:trPr>
        <w:tc>
          <w:tcPr>
            <w:tcW w:w="3030" w:type="dxa"/>
          </w:tcPr>
          <w:p w14:paraId="062C4D26" w14:textId="77777777" w:rsidR="00817793" w:rsidRDefault="002719FC">
            <w:pPr>
              <w:spacing w:before="120" w:after="120"/>
              <w:jc w:val="left"/>
            </w:pPr>
            <w:r>
              <w:t xml:space="preserve">Com </w:t>
            </w:r>
            <w:proofErr w:type="spellStart"/>
            <w:r>
              <w:t>anifrolumabe</w:t>
            </w:r>
            <w:proofErr w:type="spellEnd"/>
          </w:p>
        </w:tc>
        <w:tc>
          <w:tcPr>
            <w:tcW w:w="795" w:type="dxa"/>
          </w:tcPr>
          <w:p w14:paraId="2B05DC38" w14:textId="77777777" w:rsidR="00817793" w:rsidRDefault="002719FC">
            <w:pPr>
              <w:spacing w:before="120" w:after="120"/>
              <w:jc w:val="center"/>
            </w:pPr>
            <w:r>
              <w:t>40%</w:t>
            </w:r>
          </w:p>
        </w:tc>
        <w:tc>
          <w:tcPr>
            <w:tcW w:w="795" w:type="dxa"/>
          </w:tcPr>
          <w:p w14:paraId="4FE4159D" w14:textId="77777777" w:rsidR="00817793" w:rsidRDefault="002719FC">
            <w:pPr>
              <w:spacing w:before="120" w:after="120"/>
              <w:jc w:val="center"/>
            </w:pPr>
            <w:r>
              <w:t>50%</w:t>
            </w:r>
          </w:p>
        </w:tc>
        <w:tc>
          <w:tcPr>
            <w:tcW w:w="780" w:type="dxa"/>
          </w:tcPr>
          <w:p w14:paraId="33E71037" w14:textId="77777777" w:rsidR="00817793" w:rsidRDefault="002719FC">
            <w:pPr>
              <w:spacing w:before="120" w:after="120"/>
              <w:jc w:val="center"/>
            </w:pPr>
            <w:r>
              <w:t>60%</w:t>
            </w:r>
          </w:p>
        </w:tc>
        <w:tc>
          <w:tcPr>
            <w:tcW w:w="780" w:type="dxa"/>
          </w:tcPr>
          <w:p w14:paraId="4A9B4C96" w14:textId="77777777" w:rsidR="00817793" w:rsidRDefault="002719FC">
            <w:pPr>
              <w:spacing w:before="120" w:after="120"/>
              <w:jc w:val="center"/>
            </w:pPr>
            <w:r>
              <w:t>70%</w:t>
            </w:r>
          </w:p>
        </w:tc>
        <w:tc>
          <w:tcPr>
            <w:tcW w:w="780" w:type="dxa"/>
          </w:tcPr>
          <w:p w14:paraId="67964E18" w14:textId="77777777" w:rsidR="00817793" w:rsidRDefault="002719FC">
            <w:pPr>
              <w:spacing w:before="120" w:after="120"/>
              <w:jc w:val="center"/>
            </w:pPr>
            <w:r>
              <w:t>80%</w:t>
            </w:r>
          </w:p>
        </w:tc>
      </w:tr>
      <w:tr w:rsidR="00817793" w14:paraId="61C6E8CE" w14:textId="77777777">
        <w:trPr>
          <w:trHeight w:val="300"/>
          <w:jc w:val="center"/>
        </w:trPr>
        <w:tc>
          <w:tcPr>
            <w:tcW w:w="3030" w:type="dxa"/>
          </w:tcPr>
          <w:p w14:paraId="5E2292D1" w14:textId="77777777" w:rsidR="00817793" w:rsidRDefault="002719FC">
            <w:pPr>
              <w:spacing w:before="120" w:after="120"/>
              <w:jc w:val="left"/>
            </w:pPr>
            <w:r>
              <w:t xml:space="preserve">Sem </w:t>
            </w:r>
            <w:proofErr w:type="spellStart"/>
            <w:r>
              <w:t>anifrolumabe</w:t>
            </w:r>
            <w:proofErr w:type="spellEnd"/>
          </w:p>
        </w:tc>
        <w:tc>
          <w:tcPr>
            <w:tcW w:w="795" w:type="dxa"/>
          </w:tcPr>
          <w:p w14:paraId="2CFFA17E" w14:textId="77777777" w:rsidR="00817793" w:rsidRDefault="002719FC">
            <w:pPr>
              <w:spacing w:before="120" w:after="120"/>
              <w:jc w:val="center"/>
            </w:pPr>
            <w:r>
              <w:t>60%</w:t>
            </w:r>
          </w:p>
        </w:tc>
        <w:tc>
          <w:tcPr>
            <w:tcW w:w="795" w:type="dxa"/>
          </w:tcPr>
          <w:p w14:paraId="6972502B" w14:textId="77777777" w:rsidR="00817793" w:rsidRDefault="002719FC">
            <w:pPr>
              <w:spacing w:before="120" w:after="120"/>
              <w:jc w:val="center"/>
            </w:pPr>
            <w:r>
              <w:t>50%</w:t>
            </w:r>
          </w:p>
        </w:tc>
        <w:tc>
          <w:tcPr>
            <w:tcW w:w="780" w:type="dxa"/>
          </w:tcPr>
          <w:p w14:paraId="06745CD4" w14:textId="77777777" w:rsidR="00817793" w:rsidRDefault="002719FC">
            <w:pPr>
              <w:spacing w:before="120" w:after="120"/>
              <w:jc w:val="center"/>
            </w:pPr>
            <w:r>
              <w:t>40%</w:t>
            </w:r>
          </w:p>
        </w:tc>
        <w:tc>
          <w:tcPr>
            <w:tcW w:w="780" w:type="dxa"/>
          </w:tcPr>
          <w:p w14:paraId="27D57A5F" w14:textId="77777777" w:rsidR="00817793" w:rsidRDefault="002719FC">
            <w:pPr>
              <w:spacing w:before="120" w:after="120"/>
              <w:jc w:val="center"/>
            </w:pPr>
            <w:r>
              <w:t>30%</w:t>
            </w:r>
          </w:p>
        </w:tc>
        <w:tc>
          <w:tcPr>
            <w:tcW w:w="780" w:type="dxa"/>
          </w:tcPr>
          <w:p w14:paraId="3976D853" w14:textId="77777777" w:rsidR="00817793" w:rsidRDefault="002719FC">
            <w:pPr>
              <w:spacing w:before="120" w:after="120"/>
              <w:jc w:val="center"/>
            </w:pPr>
            <w:r>
              <w:t>20%</w:t>
            </w:r>
          </w:p>
        </w:tc>
      </w:tr>
      <w:tr w:rsidR="00817793" w14:paraId="5EA9893C" w14:textId="77777777">
        <w:trPr>
          <w:trHeight w:val="300"/>
          <w:jc w:val="center"/>
        </w:trPr>
        <w:tc>
          <w:tcPr>
            <w:tcW w:w="3030" w:type="dxa"/>
          </w:tcPr>
          <w:p w14:paraId="2200DE2D" w14:textId="77777777" w:rsidR="00817793" w:rsidRDefault="002719FC">
            <w:pPr>
              <w:spacing w:before="120" w:after="120"/>
              <w:jc w:val="center"/>
              <w:rPr>
                <w:b/>
              </w:rPr>
            </w:pPr>
            <w:r>
              <w:rPr>
                <w:b/>
              </w:rPr>
              <w:t>Cenário D – projetado</w:t>
            </w:r>
          </w:p>
        </w:tc>
        <w:tc>
          <w:tcPr>
            <w:tcW w:w="795" w:type="dxa"/>
          </w:tcPr>
          <w:p w14:paraId="16DE1E7A" w14:textId="77777777" w:rsidR="00817793" w:rsidRDefault="002719FC">
            <w:pPr>
              <w:spacing w:before="120" w:after="120"/>
              <w:jc w:val="center"/>
              <w:rPr>
                <w:b/>
              </w:rPr>
            </w:pPr>
            <w:r>
              <w:rPr>
                <w:b/>
              </w:rPr>
              <w:t>Ano 1</w:t>
            </w:r>
          </w:p>
        </w:tc>
        <w:tc>
          <w:tcPr>
            <w:tcW w:w="795" w:type="dxa"/>
          </w:tcPr>
          <w:p w14:paraId="0D7D728E" w14:textId="77777777" w:rsidR="00817793" w:rsidRDefault="002719FC">
            <w:pPr>
              <w:spacing w:before="120" w:after="120"/>
              <w:jc w:val="center"/>
              <w:rPr>
                <w:b/>
              </w:rPr>
            </w:pPr>
            <w:r>
              <w:rPr>
                <w:b/>
              </w:rPr>
              <w:t>Ano 2</w:t>
            </w:r>
          </w:p>
        </w:tc>
        <w:tc>
          <w:tcPr>
            <w:tcW w:w="780" w:type="dxa"/>
          </w:tcPr>
          <w:p w14:paraId="2B975F39" w14:textId="77777777" w:rsidR="00817793" w:rsidRDefault="002719FC">
            <w:pPr>
              <w:spacing w:before="120" w:after="120"/>
              <w:jc w:val="center"/>
              <w:rPr>
                <w:b/>
              </w:rPr>
            </w:pPr>
            <w:r>
              <w:rPr>
                <w:b/>
              </w:rPr>
              <w:t>Ano 3</w:t>
            </w:r>
          </w:p>
        </w:tc>
        <w:tc>
          <w:tcPr>
            <w:tcW w:w="780" w:type="dxa"/>
          </w:tcPr>
          <w:p w14:paraId="507B94A2" w14:textId="77777777" w:rsidR="00817793" w:rsidRDefault="002719FC">
            <w:pPr>
              <w:spacing w:before="120" w:after="120"/>
              <w:jc w:val="center"/>
              <w:rPr>
                <w:b/>
              </w:rPr>
            </w:pPr>
            <w:r>
              <w:rPr>
                <w:b/>
              </w:rPr>
              <w:t>Ano 4</w:t>
            </w:r>
          </w:p>
        </w:tc>
        <w:tc>
          <w:tcPr>
            <w:tcW w:w="780" w:type="dxa"/>
          </w:tcPr>
          <w:p w14:paraId="25C30B5B" w14:textId="77777777" w:rsidR="00817793" w:rsidRDefault="002719FC">
            <w:pPr>
              <w:spacing w:before="120" w:after="120"/>
              <w:jc w:val="center"/>
              <w:rPr>
                <w:b/>
              </w:rPr>
            </w:pPr>
            <w:r>
              <w:rPr>
                <w:b/>
              </w:rPr>
              <w:t>Ano 5</w:t>
            </w:r>
          </w:p>
        </w:tc>
      </w:tr>
      <w:tr w:rsidR="00817793" w14:paraId="3919C3AC" w14:textId="77777777">
        <w:trPr>
          <w:trHeight w:val="300"/>
          <w:jc w:val="center"/>
        </w:trPr>
        <w:tc>
          <w:tcPr>
            <w:tcW w:w="3030" w:type="dxa"/>
          </w:tcPr>
          <w:p w14:paraId="35E327FE" w14:textId="77777777" w:rsidR="00817793" w:rsidRDefault="002719FC">
            <w:pPr>
              <w:spacing w:before="120" w:after="120"/>
              <w:jc w:val="left"/>
            </w:pPr>
            <w:r>
              <w:t xml:space="preserve">Com </w:t>
            </w:r>
            <w:proofErr w:type="spellStart"/>
            <w:r>
              <w:t>anifrolumabe</w:t>
            </w:r>
            <w:proofErr w:type="spellEnd"/>
          </w:p>
        </w:tc>
        <w:tc>
          <w:tcPr>
            <w:tcW w:w="795" w:type="dxa"/>
          </w:tcPr>
          <w:p w14:paraId="6861B118" w14:textId="77777777" w:rsidR="00817793" w:rsidRDefault="002719FC">
            <w:pPr>
              <w:spacing w:before="120" w:after="120"/>
              <w:jc w:val="center"/>
            </w:pPr>
            <w:r>
              <w:t>15%</w:t>
            </w:r>
          </w:p>
        </w:tc>
        <w:tc>
          <w:tcPr>
            <w:tcW w:w="795" w:type="dxa"/>
          </w:tcPr>
          <w:p w14:paraId="1C4480D0" w14:textId="77777777" w:rsidR="00817793" w:rsidRDefault="002719FC">
            <w:pPr>
              <w:spacing w:before="120" w:after="120"/>
              <w:jc w:val="center"/>
            </w:pPr>
            <w:r>
              <w:t>17,5%</w:t>
            </w:r>
          </w:p>
        </w:tc>
        <w:tc>
          <w:tcPr>
            <w:tcW w:w="780" w:type="dxa"/>
          </w:tcPr>
          <w:p w14:paraId="0E30A828" w14:textId="77777777" w:rsidR="00817793" w:rsidRDefault="002719FC">
            <w:pPr>
              <w:spacing w:before="120" w:after="120"/>
              <w:jc w:val="center"/>
            </w:pPr>
            <w:r>
              <w:t>20%</w:t>
            </w:r>
          </w:p>
        </w:tc>
        <w:tc>
          <w:tcPr>
            <w:tcW w:w="780" w:type="dxa"/>
          </w:tcPr>
          <w:p w14:paraId="70EB4BF4" w14:textId="77777777" w:rsidR="00817793" w:rsidRDefault="002719FC">
            <w:pPr>
              <w:spacing w:before="120" w:after="120"/>
              <w:jc w:val="center"/>
            </w:pPr>
            <w:r>
              <w:t>22,5%</w:t>
            </w:r>
          </w:p>
        </w:tc>
        <w:tc>
          <w:tcPr>
            <w:tcW w:w="780" w:type="dxa"/>
          </w:tcPr>
          <w:p w14:paraId="427C9917" w14:textId="77777777" w:rsidR="00817793" w:rsidRDefault="002719FC">
            <w:pPr>
              <w:spacing w:before="120" w:after="120"/>
              <w:jc w:val="center"/>
            </w:pPr>
            <w:r>
              <w:t>25%</w:t>
            </w:r>
          </w:p>
        </w:tc>
      </w:tr>
      <w:tr w:rsidR="00817793" w14:paraId="119F0D63" w14:textId="77777777">
        <w:trPr>
          <w:trHeight w:val="300"/>
          <w:jc w:val="center"/>
        </w:trPr>
        <w:tc>
          <w:tcPr>
            <w:tcW w:w="3030" w:type="dxa"/>
          </w:tcPr>
          <w:p w14:paraId="247AC864" w14:textId="77777777" w:rsidR="00817793" w:rsidRDefault="002719FC">
            <w:pPr>
              <w:spacing w:before="120" w:after="120"/>
              <w:jc w:val="left"/>
            </w:pPr>
            <w:r>
              <w:t xml:space="preserve">Sem </w:t>
            </w:r>
            <w:proofErr w:type="spellStart"/>
            <w:r>
              <w:t>anifrolumabe</w:t>
            </w:r>
            <w:proofErr w:type="spellEnd"/>
          </w:p>
        </w:tc>
        <w:tc>
          <w:tcPr>
            <w:tcW w:w="795" w:type="dxa"/>
          </w:tcPr>
          <w:p w14:paraId="08A16418" w14:textId="77777777" w:rsidR="00817793" w:rsidRDefault="002719FC">
            <w:pPr>
              <w:spacing w:before="120" w:after="120"/>
              <w:jc w:val="center"/>
            </w:pPr>
            <w:r>
              <w:t>85%</w:t>
            </w:r>
          </w:p>
        </w:tc>
        <w:tc>
          <w:tcPr>
            <w:tcW w:w="795" w:type="dxa"/>
          </w:tcPr>
          <w:p w14:paraId="661DEED1" w14:textId="77777777" w:rsidR="00817793" w:rsidRDefault="002719FC">
            <w:pPr>
              <w:spacing w:before="120" w:after="120"/>
              <w:jc w:val="center"/>
            </w:pPr>
            <w:r>
              <w:t>82,5%</w:t>
            </w:r>
          </w:p>
        </w:tc>
        <w:tc>
          <w:tcPr>
            <w:tcW w:w="780" w:type="dxa"/>
          </w:tcPr>
          <w:p w14:paraId="7FD76D2B" w14:textId="77777777" w:rsidR="00817793" w:rsidRDefault="002719FC">
            <w:pPr>
              <w:spacing w:before="120" w:after="120"/>
              <w:jc w:val="center"/>
            </w:pPr>
            <w:r>
              <w:t>80%</w:t>
            </w:r>
          </w:p>
        </w:tc>
        <w:tc>
          <w:tcPr>
            <w:tcW w:w="780" w:type="dxa"/>
          </w:tcPr>
          <w:p w14:paraId="28ACA81F" w14:textId="77777777" w:rsidR="00817793" w:rsidRDefault="002719FC">
            <w:pPr>
              <w:spacing w:before="120" w:after="120"/>
              <w:jc w:val="center"/>
            </w:pPr>
            <w:r>
              <w:t>77,5%</w:t>
            </w:r>
          </w:p>
        </w:tc>
        <w:tc>
          <w:tcPr>
            <w:tcW w:w="780" w:type="dxa"/>
          </w:tcPr>
          <w:p w14:paraId="3A68B751" w14:textId="77777777" w:rsidR="00817793" w:rsidRDefault="002719FC">
            <w:pPr>
              <w:spacing w:before="120" w:after="120"/>
              <w:jc w:val="center"/>
            </w:pPr>
            <w:r>
              <w:t>75%</w:t>
            </w:r>
          </w:p>
        </w:tc>
      </w:tr>
    </w:tbl>
    <w:p w14:paraId="342D4C27" w14:textId="77777777" w:rsidR="00817793" w:rsidRDefault="00817793"/>
    <w:tbl>
      <w:tblPr>
        <w:tblStyle w:val="afff1"/>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09276801" w14:textId="77777777">
        <w:trPr>
          <w:trHeight w:val="416"/>
        </w:trPr>
        <w:tc>
          <w:tcPr>
            <w:tcW w:w="9072" w:type="dxa"/>
            <w:shd w:val="clear" w:color="auto" w:fill="D9E2F3"/>
            <w:vAlign w:val="center"/>
          </w:tcPr>
          <w:p w14:paraId="48384EBE" w14:textId="77777777" w:rsidR="00817793" w:rsidRDefault="002719FC">
            <w:pPr>
              <w:spacing w:before="120" w:after="120" w:line="240" w:lineRule="auto"/>
              <w:jc w:val="center"/>
              <w:rPr>
                <w:b/>
              </w:rPr>
            </w:pPr>
            <w:r>
              <w:rPr>
                <w:b/>
              </w:rPr>
              <w:lastRenderedPageBreak/>
              <w:t>Comentários adicionais sobre a progressão estimada de participação no mercado apresentada pelo proponente</w:t>
            </w:r>
          </w:p>
        </w:tc>
      </w:tr>
      <w:tr w:rsidR="00817793" w14:paraId="52923FAA" w14:textId="77777777">
        <w:trPr>
          <w:trHeight w:val="750"/>
        </w:trPr>
        <w:tc>
          <w:tcPr>
            <w:tcW w:w="9072" w:type="dxa"/>
            <w:vAlign w:val="center"/>
          </w:tcPr>
          <w:p w14:paraId="6A45DA29" w14:textId="77777777" w:rsidR="00817793" w:rsidRDefault="002719FC">
            <w:pPr>
              <w:spacing w:before="120" w:after="120" w:line="240" w:lineRule="auto"/>
            </w:pPr>
            <w:r>
              <w:t xml:space="preserve">Foram projetados 3 cenários de </w:t>
            </w:r>
            <w:proofErr w:type="spellStart"/>
            <w:r>
              <w:t>market</w:t>
            </w:r>
            <w:proofErr w:type="spellEnd"/>
            <w:r>
              <w:t xml:space="preserve"> </w:t>
            </w:r>
            <w:proofErr w:type="spellStart"/>
            <w:r>
              <w:t>share</w:t>
            </w:r>
            <w:proofErr w:type="spellEnd"/>
            <w:r>
              <w:t>, assumindo que uma incorporação lenta (25% a 45% em 5 anos) seria o cenário principal e mais provável, sob a justificativa “</w:t>
            </w:r>
            <w:r>
              <w:rPr>
                <w:i/>
              </w:rPr>
              <w:t xml:space="preserve">da diversidade de tratamentos disponíveis no tratamento padrão, possibilitando realizar trocas entre esses imunossupressores antes de considerar o uso de </w:t>
            </w:r>
            <w:proofErr w:type="spellStart"/>
            <w:r>
              <w:rPr>
                <w:i/>
              </w:rPr>
              <w:t>anifrolumabe</w:t>
            </w:r>
            <w:proofErr w:type="spellEnd"/>
            <w:r>
              <w:rPr>
                <w:i/>
              </w:rPr>
              <w:t>, limitando a velocidade de incorporação desse novo tratamento, além dos critérios de elegibilidade muito específicos</w:t>
            </w:r>
            <w:r>
              <w:t xml:space="preserve">”. </w:t>
            </w:r>
          </w:p>
          <w:p w14:paraId="2F42C6F1" w14:textId="77777777" w:rsidR="00817793" w:rsidRDefault="002719FC">
            <w:pPr>
              <w:spacing w:before="120" w:after="120" w:line="240" w:lineRule="auto"/>
            </w:pPr>
            <w:r>
              <w:t>Porém, após consulta à especialista na área (reumatologia), considera-se que existe incerteza sobre a real taxa de incorporação, sendo que o cenário mais agressivo - incorporação rápida, com taxa inicial de 40%, com aumento anual de 10% - provavelmente seja o cenário mais provável, visto que nos estudos um percentual importante dos pacientes não estava com terapia otimizada (tripla), e que mesmo com os critérios estabelecidos na DUT pode ocorrer uma "prescrição por disponibilidade".</w:t>
            </w:r>
          </w:p>
        </w:tc>
      </w:tr>
    </w:tbl>
    <w:p w14:paraId="03C8DA3A" w14:textId="77777777" w:rsidR="00962048" w:rsidRDefault="00962048">
      <w:pPr>
        <w:pStyle w:val="Ttulo2"/>
      </w:pPr>
      <w:bookmarkStart w:id="68" w:name="_32hioqz" w:colFirst="0" w:colLast="0"/>
      <w:bookmarkEnd w:id="68"/>
    </w:p>
    <w:p w14:paraId="16CC3AE3" w14:textId="10C57FE9" w:rsidR="00817793" w:rsidRDefault="002719FC">
      <w:pPr>
        <w:pStyle w:val="Ttulo2"/>
      </w:pPr>
      <w:r>
        <w:t>7.2 Resultados</w:t>
      </w:r>
    </w:p>
    <w:p w14:paraId="44C00B71" w14:textId="77777777" w:rsidR="00817793" w:rsidRDefault="002719FC">
      <w:r>
        <w:t>Após a análise crítica, a AIO apresentada pelo proponente foi considerada:</w:t>
      </w:r>
    </w:p>
    <w:p w14:paraId="73C7C587" w14:textId="77777777" w:rsidR="00817793" w:rsidRDefault="002719FC">
      <w:proofErr w:type="gramStart"/>
      <w:r>
        <w:t>(  )</w:t>
      </w:r>
      <w:proofErr w:type="gramEnd"/>
      <w:r>
        <w:t xml:space="preserve"> Adequada (robusta e confiável). A mesma AIO foi reproduzida na planilha padrão da ANS, obtendo-se os resultados apresentados a seguir.</w:t>
      </w:r>
    </w:p>
    <w:p w14:paraId="676B2889" w14:textId="77777777" w:rsidR="00817793" w:rsidRDefault="002719FC">
      <w:proofErr w:type="gramStart"/>
      <w:r>
        <w:t>( X</w:t>
      </w:r>
      <w:proofErr w:type="gramEnd"/>
      <w:r>
        <w:t xml:space="preserve"> ) Inadequada. Uma nova AIO com ajustes metodológicos foi elaborada, obtendo-se os resultados apresentados a seguir.</w:t>
      </w:r>
    </w:p>
    <w:tbl>
      <w:tblPr>
        <w:tblStyle w:val="afff2"/>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619056AE" w14:textId="77777777">
        <w:trPr>
          <w:trHeight w:val="416"/>
        </w:trPr>
        <w:tc>
          <w:tcPr>
            <w:tcW w:w="9072" w:type="dxa"/>
            <w:shd w:val="clear" w:color="auto" w:fill="D9E2F3"/>
            <w:vAlign w:val="center"/>
          </w:tcPr>
          <w:p w14:paraId="1547021B" w14:textId="77777777" w:rsidR="00817793" w:rsidRDefault="002719FC">
            <w:pPr>
              <w:spacing w:before="120" w:after="120" w:line="240" w:lineRule="auto"/>
              <w:jc w:val="center"/>
              <w:rPr>
                <w:b/>
              </w:rPr>
            </w:pPr>
            <w:r>
              <w:rPr>
                <w:b/>
              </w:rPr>
              <w:t>Comentários principais sobre a AIO apresentada pelo PROPONENTE</w:t>
            </w:r>
          </w:p>
        </w:tc>
      </w:tr>
      <w:tr w:rsidR="00817793" w14:paraId="64FC621A" w14:textId="77777777">
        <w:trPr>
          <w:trHeight w:val="750"/>
        </w:trPr>
        <w:tc>
          <w:tcPr>
            <w:tcW w:w="9072" w:type="dxa"/>
            <w:vAlign w:val="center"/>
          </w:tcPr>
          <w:p w14:paraId="73CC3A94" w14:textId="77777777" w:rsidR="00817793" w:rsidRDefault="002719FC">
            <w:pPr>
              <w:spacing w:before="120" w:after="120" w:line="240" w:lineRule="auto"/>
            </w:pPr>
            <w:r>
              <w:t>Considerando-se as limitações apontadas na análise realizada pelo proponente, é provável que o cálculo do impacto orçamentário esteja impreciso. Por este motivo foi realizada uma nova análise de impacto orçamentário na planilha padrão da ANS, utilizando como parâmetros e fontes de dados os disponíveis no Quadro 27 (quarta coluna).</w:t>
            </w:r>
          </w:p>
        </w:tc>
      </w:tr>
    </w:tbl>
    <w:p w14:paraId="3572E399" w14:textId="77777777" w:rsidR="00817793" w:rsidRDefault="00817793">
      <w:pPr>
        <w:pStyle w:val="Ttulo4"/>
        <w:rPr>
          <w:b/>
        </w:rPr>
      </w:pPr>
      <w:bookmarkStart w:id="69" w:name="_nsggm6en7zg5" w:colFirst="0" w:colLast="0"/>
      <w:bookmarkEnd w:id="69"/>
    </w:p>
    <w:p w14:paraId="7D3BFC50" w14:textId="77777777" w:rsidR="00817793" w:rsidRDefault="002719FC">
      <w:pPr>
        <w:pStyle w:val="Ttulo4"/>
      </w:pPr>
      <w:bookmarkStart w:id="70" w:name="_6zh2e9dsg2qv" w:colFirst="0" w:colLast="0"/>
      <w:bookmarkEnd w:id="70"/>
      <w:r>
        <w:rPr>
          <w:b/>
        </w:rPr>
        <w:t>Quadro 30.</w:t>
      </w:r>
      <w:r>
        <w:t xml:space="preserve"> Resumo dos resultados da AIO</w:t>
      </w:r>
    </w:p>
    <w:tbl>
      <w:tblPr>
        <w:tblStyle w:val="afff3"/>
        <w:tblW w:w="92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4"/>
        <w:gridCol w:w="2527"/>
        <w:gridCol w:w="2648"/>
        <w:gridCol w:w="2409"/>
      </w:tblGrid>
      <w:tr w:rsidR="00817793" w14:paraId="3253F225" w14:textId="77777777">
        <w:trPr>
          <w:trHeight w:val="454"/>
          <w:jc w:val="center"/>
        </w:trPr>
        <w:tc>
          <w:tcPr>
            <w:tcW w:w="1634" w:type="dxa"/>
            <w:shd w:val="clear" w:color="auto" w:fill="D9E2F3"/>
          </w:tcPr>
          <w:p w14:paraId="2CF68849" w14:textId="77777777" w:rsidR="00817793" w:rsidRDefault="002719FC">
            <w:pPr>
              <w:spacing w:before="120" w:after="120" w:line="240" w:lineRule="auto"/>
              <w:jc w:val="center"/>
              <w:rPr>
                <w:b/>
              </w:rPr>
            </w:pPr>
            <w:r>
              <w:rPr>
                <w:b/>
              </w:rPr>
              <w:t>Critério</w:t>
            </w:r>
          </w:p>
        </w:tc>
        <w:tc>
          <w:tcPr>
            <w:tcW w:w="2527" w:type="dxa"/>
            <w:shd w:val="clear" w:color="auto" w:fill="D9E2F3"/>
          </w:tcPr>
          <w:p w14:paraId="093BA8FD" w14:textId="77777777" w:rsidR="00817793" w:rsidRDefault="002719FC">
            <w:pPr>
              <w:spacing w:before="120" w:after="120" w:line="240" w:lineRule="auto"/>
              <w:jc w:val="center"/>
              <w:rPr>
                <w:b/>
              </w:rPr>
            </w:pPr>
            <w:r>
              <w:rPr>
                <w:b/>
              </w:rPr>
              <w:t>AIO Proponente</w:t>
            </w:r>
          </w:p>
        </w:tc>
        <w:tc>
          <w:tcPr>
            <w:tcW w:w="2648" w:type="dxa"/>
            <w:shd w:val="clear" w:color="auto" w:fill="D9E2F3"/>
          </w:tcPr>
          <w:p w14:paraId="4E14709E" w14:textId="77777777" w:rsidR="00817793" w:rsidRDefault="002719FC">
            <w:pPr>
              <w:spacing w:before="120" w:after="120" w:line="240" w:lineRule="auto"/>
              <w:jc w:val="center"/>
              <w:rPr>
                <w:b/>
              </w:rPr>
            </w:pPr>
            <w:r>
              <w:rPr>
                <w:b/>
              </w:rPr>
              <w:t>Comentário sobre a AIO proponente</w:t>
            </w:r>
          </w:p>
        </w:tc>
        <w:tc>
          <w:tcPr>
            <w:tcW w:w="2409" w:type="dxa"/>
            <w:shd w:val="clear" w:color="auto" w:fill="D9E2F3"/>
          </w:tcPr>
          <w:p w14:paraId="2C87A710" w14:textId="77777777" w:rsidR="00817793" w:rsidRDefault="002719FC">
            <w:pPr>
              <w:spacing w:before="120" w:after="120" w:line="240" w:lineRule="auto"/>
              <w:jc w:val="center"/>
              <w:rPr>
                <w:b/>
              </w:rPr>
            </w:pPr>
            <w:r>
              <w:rPr>
                <w:b/>
              </w:rPr>
              <w:t>AIO do relatório</w:t>
            </w:r>
          </w:p>
        </w:tc>
      </w:tr>
      <w:tr w:rsidR="00817793" w14:paraId="5D490C85" w14:textId="77777777">
        <w:trPr>
          <w:trHeight w:val="454"/>
          <w:jc w:val="center"/>
        </w:trPr>
        <w:tc>
          <w:tcPr>
            <w:tcW w:w="1634" w:type="dxa"/>
            <w:shd w:val="clear" w:color="auto" w:fill="auto"/>
          </w:tcPr>
          <w:p w14:paraId="1885AC2A" w14:textId="77777777" w:rsidR="00817793" w:rsidRDefault="002719FC">
            <w:pPr>
              <w:spacing w:before="120" w:after="120" w:line="240" w:lineRule="auto"/>
              <w:jc w:val="center"/>
              <w:rPr>
                <w:b/>
              </w:rPr>
            </w:pPr>
            <w:r>
              <w:rPr>
                <w:b/>
                <w:color w:val="000000"/>
              </w:rPr>
              <w:t>Impacto por cenário</w:t>
            </w:r>
          </w:p>
        </w:tc>
        <w:tc>
          <w:tcPr>
            <w:tcW w:w="2527" w:type="dxa"/>
            <w:shd w:val="clear" w:color="auto" w:fill="auto"/>
          </w:tcPr>
          <w:p w14:paraId="53EA549B" w14:textId="77777777" w:rsidR="00817793" w:rsidRDefault="002719FC">
            <w:pPr>
              <w:spacing w:before="120" w:after="120" w:line="240" w:lineRule="auto"/>
              <w:jc w:val="center"/>
            </w:pPr>
            <w:r>
              <w:t xml:space="preserve">Custo sem a incorporação de </w:t>
            </w:r>
            <w:proofErr w:type="spellStart"/>
            <w:r>
              <w:lastRenderedPageBreak/>
              <w:t>anifrolumabe</w:t>
            </w:r>
            <w:proofErr w:type="spellEnd"/>
            <w:r>
              <w:t xml:space="preserve"> em cinco anos: R$ 538.023.978</w:t>
            </w:r>
          </w:p>
          <w:p w14:paraId="6BE1E7F7" w14:textId="77777777" w:rsidR="00817793" w:rsidRDefault="002719FC">
            <w:pPr>
              <w:spacing w:before="120" w:after="120" w:line="240" w:lineRule="auto"/>
              <w:jc w:val="center"/>
            </w:pPr>
            <w:r>
              <w:t xml:space="preserve"> a) Cenário base: Custo com total com a incorporação em 5 anos</w:t>
            </w:r>
          </w:p>
          <w:p w14:paraId="36F4FDE6" w14:textId="77777777" w:rsidR="00817793" w:rsidRDefault="002719FC">
            <w:pPr>
              <w:spacing w:before="120" w:after="120" w:line="240" w:lineRule="auto"/>
              <w:jc w:val="center"/>
            </w:pPr>
            <w:r>
              <w:t>R$ 735.631.102</w:t>
            </w:r>
          </w:p>
          <w:p w14:paraId="043A655C" w14:textId="77777777" w:rsidR="00817793" w:rsidRDefault="002719FC">
            <w:pPr>
              <w:spacing w:before="120" w:after="120" w:line="240" w:lineRule="auto"/>
              <w:jc w:val="center"/>
            </w:pPr>
            <w:r>
              <w:t>b) Incorporação rápida: Custo com total com a incorporação em 5 anos R$ 875.921.387</w:t>
            </w:r>
          </w:p>
          <w:p w14:paraId="38E64AA2" w14:textId="77777777" w:rsidR="00817793" w:rsidRDefault="002719FC">
            <w:pPr>
              <w:spacing w:before="120" w:after="120" w:line="240" w:lineRule="auto"/>
              <w:jc w:val="center"/>
            </w:pPr>
            <w:r>
              <w:t>c) Incorporação lenta: Custo com total com a incorporação em 5 anos R$ 651.156.749</w:t>
            </w:r>
          </w:p>
        </w:tc>
        <w:tc>
          <w:tcPr>
            <w:tcW w:w="2648" w:type="dxa"/>
            <w:vAlign w:val="center"/>
          </w:tcPr>
          <w:p w14:paraId="3DE3E1AB" w14:textId="77777777" w:rsidR="00817793" w:rsidRDefault="002719FC">
            <w:pPr>
              <w:tabs>
                <w:tab w:val="left" w:pos="284"/>
              </w:tabs>
              <w:spacing w:before="120" w:after="120" w:line="240" w:lineRule="auto"/>
              <w:jc w:val="center"/>
              <w:rPr>
                <w:i/>
                <w:color w:val="FF0000"/>
              </w:rPr>
            </w:pPr>
            <w:r>
              <w:lastRenderedPageBreak/>
              <w:t xml:space="preserve">Parcialmente adequado, foi identificado erro que superestimava a </w:t>
            </w:r>
            <w:r>
              <w:lastRenderedPageBreak/>
              <w:t>população-alvo na AIO do proponente.</w:t>
            </w:r>
          </w:p>
        </w:tc>
        <w:tc>
          <w:tcPr>
            <w:tcW w:w="2409" w:type="dxa"/>
          </w:tcPr>
          <w:p w14:paraId="343DC0F0" w14:textId="77777777" w:rsidR="00817793" w:rsidRDefault="002719FC">
            <w:pPr>
              <w:spacing w:before="120" w:after="120" w:line="240" w:lineRule="auto"/>
              <w:jc w:val="center"/>
            </w:pPr>
            <w:r>
              <w:lastRenderedPageBreak/>
              <w:t xml:space="preserve">Custo sem a incorporação de </w:t>
            </w:r>
            <w:proofErr w:type="spellStart"/>
            <w:r>
              <w:lastRenderedPageBreak/>
              <w:t>anifrolumabe</w:t>
            </w:r>
            <w:proofErr w:type="spellEnd"/>
            <w:r>
              <w:t xml:space="preserve"> em cinco anos: </w:t>
            </w:r>
          </w:p>
          <w:p w14:paraId="4EF0AD60" w14:textId="4B68889C" w:rsidR="00817793" w:rsidRDefault="002719FC">
            <w:pPr>
              <w:spacing w:before="120" w:after="120" w:line="240" w:lineRule="auto"/>
              <w:jc w:val="center"/>
            </w:pPr>
            <w:r>
              <w:t>R$ 127.707.491,90</w:t>
            </w:r>
          </w:p>
          <w:p w14:paraId="7BC131F8" w14:textId="77777777" w:rsidR="00817793" w:rsidRDefault="002719FC">
            <w:pPr>
              <w:spacing w:before="120" w:after="120" w:line="240" w:lineRule="auto"/>
              <w:jc w:val="center"/>
            </w:pPr>
            <w:r>
              <w:t xml:space="preserve"> a) Cenário base: Custo com total com a incorporação em 5 anos</w:t>
            </w:r>
          </w:p>
          <w:p w14:paraId="6B389A4F" w14:textId="044DA297" w:rsidR="00817793" w:rsidRDefault="002719FC">
            <w:pPr>
              <w:spacing w:before="120" w:after="120" w:line="240" w:lineRule="auto"/>
              <w:jc w:val="center"/>
            </w:pPr>
            <w:r>
              <w:t>R$ 257.146.121</w:t>
            </w:r>
          </w:p>
          <w:p w14:paraId="0F0AD571" w14:textId="77777777" w:rsidR="00817793" w:rsidRDefault="002719FC">
            <w:pPr>
              <w:spacing w:before="120" w:after="120" w:line="240" w:lineRule="auto"/>
              <w:jc w:val="center"/>
            </w:pPr>
            <w:r>
              <w:t>b) Incorporação rápida: Custo com total com a incorporação em 5 anos R$ 348.779.930</w:t>
            </w:r>
          </w:p>
          <w:p w14:paraId="15D0B1F5" w14:textId="77777777" w:rsidR="00817793" w:rsidRDefault="002719FC">
            <w:pPr>
              <w:spacing w:before="120" w:after="120" w:line="240" w:lineRule="auto"/>
              <w:jc w:val="center"/>
              <w:rPr>
                <w:i/>
                <w:color w:val="FF0000"/>
              </w:rPr>
            </w:pPr>
            <w:r>
              <w:t>c) Incorporação lenta: Custo com total com a incorporação em 5 anos R$ 201.878.011</w:t>
            </w:r>
          </w:p>
        </w:tc>
      </w:tr>
      <w:tr w:rsidR="00817793" w14:paraId="1EFF950F" w14:textId="77777777">
        <w:trPr>
          <w:trHeight w:val="454"/>
          <w:jc w:val="center"/>
        </w:trPr>
        <w:tc>
          <w:tcPr>
            <w:tcW w:w="1634" w:type="dxa"/>
            <w:shd w:val="clear" w:color="auto" w:fill="auto"/>
          </w:tcPr>
          <w:p w14:paraId="4EA4D3B0" w14:textId="77777777" w:rsidR="00817793" w:rsidRDefault="002719FC">
            <w:pPr>
              <w:spacing w:before="120" w:after="120" w:line="240" w:lineRule="auto"/>
              <w:jc w:val="center"/>
              <w:rPr>
                <w:b/>
              </w:rPr>
            </w:pPr>
            <w:r>
              <w:rPr>
                <w:b/>
                <w:color w:val="000000"/>
              </w:rPr>
              <w:t>Impacto incremental</w:t>
            </w:r>
          </w:p>
        </w:tc>
        <w:tc>
          <w:tcPr>
            <w:tcW w:w="2527" w:type="dxa"/>
            <w:shd w:val="clear" w:color="auto" w:fill="auto"/>
          </w:tcPr>
          <w:p w14:paraId="04A2D2AE" w14:textId="77777777" w:rsidR="00817793" w:rsidRDefault="002719FC">
            <w:pPr>
              <w:spacing w:before="120" w:after="120" w:line="240" w:lineRule="auto"/>
              <w:jc w:val="center"/>
            </w:pPr>
            <w:r>
              <w:t>a) Cenário base - Impacto orçamentário de cinco anos: R$ 197.607.124</w:t>
            </w:r>
          </w:p>
          <w:p w14:paraId="42620D4F" w14:textId="77777777" w:rsidR="00817793" w:rsidRDefault="002719FC">
            <w:pPr>
              <w:spacing w:before="120" w:after="120" w:line="240" w:lineRule="auto"/>
              <w:jc w:val="center"/>
            </w:pPr>
            <w:r>
              <w:t>b) Incorporação rápida - Impacto orçamentário de cinco anos: R$ 337.897.409</w:t>
            </w:r>
          </w:p>
          <w:p w14:paraId="787AF546" w14:textId="77777777" w:rsidR="00817793" w:rsidRDefault="002719FC">
            <w:pPr>
              <w:spacing w:before="120" w:after="120" w:line="240" w:lineRule="auto"/>
              <w:jc w:val="center"/>
              <w:rPr>
                <w:highlight w:val="lightGray"/>
              </w:rPr>
            </w:pPr>
            <w:r>
              <w:t>c) Incorporação lenta - Impacto orçamentário de cinco anos: R$ 113.132.772</w:t>
            </w:r>
          </w:p>
        </w:tc>
        <w:tc>
          <w:tcPr>
            <w:tcW w:w="2648" w:type="dxa"/>
            <w:vAlign w:val="center"/>
          </w:tcPr>
          <w:p w14:paraId="038ED9E8" w14:textId="77777777" w:rsidR="00817793" w:rsidRDefault="002719FC">
            <w:pPr>
              <w:tabs>
                <w:tab w:val="left" w:pos="284"/>
              </w:tabs>
              <w:spacing w:before="120" w:after="120" w:line="240" w:lineRule="auto"/>
              <w:jc w:val="center"/>
              <w:rPr>
                <w:i/>
                <w:color w:val="FF0000"/>
              </w:rPr>
            </w:pPr>
            <w:r>
              <w:t>Parcialmente adequado, foi identificado erro que superestimava a população-alvo na AIO do proponente.</w:t>
            </w:r>
          </w:p>
        </w:tc>
        <w:tc>
          <w:tcPr>
            <w:tcW w:w="2409" w:type="dxa"/>
          </w:tcPr>
          <w:p w14:paraId="7A9EB722" w14:textId="77777777" w:rsidR="00817793" w:rsidRDefault="002719FC">
            <w:pPr>
              <w:spacing w:before="120" w:after="120" w:line="240" w:lineRule="auto"/>
              <w:jc w:val="center"/>
            </w:pPr>
            <w:r>
              <w:t>a) Cenário base - Impacto orçamentário de cinco anos: R$ 129.438.629</w:t>
            </w:r>
          </w:p>
          <w:p w14:paraId="60A9D16F" w14:textId="77777777" w:rsidR="00817793" w:rsidRDefault="002719FC">
            <w:pPr>
              <w:spacing w:before="120" w:after="120" w:line="240" w:lineRule="auto"/>
              <w:jc w:val="center"/>
            </w:pPr>
            <w:r>
              <w:t>b) Incorporação rápida - Impacto orçamentário de cinco anos: R$ 221.072.438</w:t>
            </w:r>
          </w:p>
          <w:p w14:paraId="0DDDD4AB" w14:textId="77777777" w:rsidR="00817793" w:rsidRDefault="002719FC">
            <w:pPr>
              <w:spacing w:before="120" w:after="120" w:line="240" w:lineRule="auto"/>
              <w:jc w:val="center"/>
              <w:rPr>
                <w:i/>
                <w:color w:val="FF0000"/>
              </w:rPr>
            </w:pPr>
            <w:r>
              <w:t>c) Incorporação lenta - Impacto orçamentário de cinco anos: R$ 74.170.519</w:t>
            </w:r>
          </w:p>
        </w:tc>
      </w:tr>
      <w:tr w:rsidR="00817793" w14:paraId="35D00604" w14:textId="77777777">
        <w:trPr>
          <w:trHeight w:val="454"/>
          <w:jc w:val="center"/>
        </w:trPr>
        <w:tc>
          <w:tcPr>
            <w:tcW w:w="1634" w:type="dxa"/>
            <w:shd w:val="clear" w:color="auto" w:fill="auto"/>
          </w:tcPr>
          <w:p w14:paraId="6B2613E5" w14:textId="77777777" w:rsidR="00817793" w:rsidRDefault="002719FC">
            <w:pPr>
              <w:spacing w:before="120" w:after="120" w:line="240" w:lineRule="auto"/>
              <w:jc w:val="center"/>
              <w:rPr>
                <w:b/>
                <w:color w:val="000000"/>
              </w:rPr>
            </w:pPr>
            <w:r>
              <w:rPr>
                <w:b/>
                <w:color w:val="000000"/>
              </w:rPr>
              <w:t>Caracterização da incerteza</w:t>
            </w:r>
          </w:p>
        </w:tc>
        <w:tc>
          <w:tcPr>
            <w:tcW w:w="2527" w:type="dxa"/>
            <w:shd w:val="clear" w:color="auto" w:fill="auto"/>
          </w:tcPr>
          <w:p w14:paraId="732B566B" w14:textId="77777777" w:rsidR="00817793" w:rsidRDefault="002719FC">
            <w:pPr>
              <w:spacing w:before="120" w:after="120" w:line="240" w:lineRule="auto"/>
              <w:jc w:val="center"/>
              <w:rPr>
                <w:highlight w:val="lightGray"/>
              </w:rPr>
            </w:pPr>
            <w:r>
              <w:t xml:space="preserve">Na análise de sensibilidade determinística, observou-se que os parâmetros com maior impacto foram o custo de </w:t>
            </w:r>
            <w:proofErr w:type="spellStart"/>
            <w:r>
              <w:t>anifrolumabe</w:t>
            </w:r>
            <w:proofErr w:type="spellEnd"/>
            <w:r>
              <w:t>, seguido pelos parâmetros epidemiológicos</w:t>
            </w:r>
          </w:p>
        </w:tc>
        <w:tc>
          <w:tcPr>
            <w:tcW w:w="2648" w:type="dxa"/>
            <w:vAlign w:val="center"/>
          </w:tcPr>
          <w:p w14:paraId="0A086DEC" w14:textId="77777777" w:rsidR="00817793" w:rsidRDefault="002719FC">
            <w:pPr>
              <w:tabs>
                <w:tab w:val="left" w:pos="284"/>
              </w:tabs>
              <w:spacing w:before="120" w:after="120" w:line="240" w:lineRule="auto"/>
              <w:jc w:val="center"/>
              <w:rPr>
                <w:i/>
                <w:color w:val="FF0000"/>
              </w:rPr>
            </w:pPr>
            <w:r>
              <w:t>Adequado</w:t>
            </w:r>
          </w:p>
        </w:tc>
        <w:tc>
          <w:tcPr>
            <w:tcW w:w="2409" w:type="dxa"/>
          </w:tcPr>
          <w:p w14:paraId="2CC5D652" w14:textId="31632D22" w:rsidR="00817793" w:rsidRDefault="002719FC">
            <w:pPr>
              <w:spacing w:before="120" w:after="120" w:line="240" w:lineRule="auto"/>
              <w:jc w:val="center"/>
            </w:pPr>
            <w:r>
              <w:t>Visto que a população elegível reduziu com os novos cálculos, comprova-se seu impacto no resultado do impacto orçamentário incremental.</w:t>
            </w:r>
          </w:p>
        </w:tc>
      </w:tr>
    </w:tbl>
    <w:p w14:paraId="6CEB15CE" w14:textId="77777777" w:rsidR="00817793" w:rsidRDefault="00817793"/>
    <w:p w14:paraId="66518E39" w14:textId="77777777" w:rsidR="00817793" w:rsidRDefault="00817793"/>
    <w:p w14:paraId="676C643D" w14:textId="77777777" w:rsidR="00817793" w:rsidRDefault="002719FC">
      <w:pPr>
        <w:pStyle w:val="Ttulo4"/>
      </w:pPr>
      <w:bookmarkStart w:id="71" w:name="_2x22n05v8x3m" w:colFirst="0" w:colLast="0"/>
      <w:bookmarkEnd w:id="71"/>
      <w:r>
        <w:rPr>
          <w:b/>
        </w:rPr>
        <w:lastRenderedPageBreak/>
        <w:t>Quadro 31.</w:t>
      </w:r>
      <w:r>
        <w:t xml:space="preserve">  Parâmetros de custo e fontes de dados (versão do PROPONENTE e do PARECERISTA)</w:t>
      </w:r>
    </w:p>
    <w:tbl>
      <w:tblPr>
        <w:tblStyle w:val="afff4"/>
        <w:tblW w:w="918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05"/>
        <w:gridCol w:w="1860"/>
        <w:gridCol w:w="2760"/>
        <w:gridCol w:w="2055"/>
      </w:tblGrid>
      <w:tr w:rsidR="00817793" w14:paraId="1519F1AA" w14:textId="77777777">
        <w:tc>
          <w:tcPr>
            <w:tcW w:w="9180" w:type="dxa"/>
            <w:gridSpan w:val="4"/>
            <w:shd w:val="clear" w:color="auto" w:fill="D9E2F3"/>
            <w:vAlign w:val="center"/>
          </w:tcPr>
          <w:p w14:paraId="32292850" w14:textId="77777777" w:rsidR="00817793" w:rsidRDefault="002719FC">
            <w:pPr>
              <w:spacing w:before="120" w:after="120"/>
              <w:jc w:val="center"/>
              <w:rPr>
                <w:b/>
              </w:rPr>
            </w:pPr>
            <w:r>
              <w:rPr>
                <w:b/>
              </w:rPr>
              <w:t>Proponente</w:t>
            </w:r>
          </w:p>
        </w:tc>
      </w:tr>
      <w:tr w:rsidR="00817793" w14:paraId="25863774" w14:textId="77777777">
        <w:tc>
          <w:tcPr>
            <w:tcW w:w="2505" w:type="dxa"/>
            <w:shd w:val="clear" w:color="auto" w:fill="D9E2F3"/>
            <w:vAlign w:val="center"/>
          </w:tcPr>
          <w:p w14:paraId="0E789079" w14:textId="77777777" w:rsidR="00817793" w:rsidRDefault="002719FC">
            <w:pPr>
              <w:spacing w:before="120" w:after="120"/>
              <w:jc w:val="center"/>
              <w:rPr>
                <w:b/>
              </w:rPr>
            </w:pPr>
            <w:r>
              <w:rPr>
                <w:b/>
              </w:rPr>
              <w:t>Item</w:t>
            </w:r>
          </w:p>
        </w:tc>
        <w:tc>
          <w:tcPr>
            <w:tcW w:w="1860" w:type="dxa"/>
            <w:shd w:val="clear" w:color="auto" w:fill="D9E2F3"/>
          </w:tcPr>
          <w:p w14:paraId="1A62781E" w14:textId="77777777" w:rsidR="00817793" w:rsidRDefault="002719FC">
            <w:pPr>
              <w:spacing w:before="120" w:after="120"/>
              <w:jc w:val="center"/>
              <w:rPr>
                <w:b/>
              </w:rPr>
            </w:pPr>
            <w:r>
              <w:rPr>
                <w:b/>
              </w:rPr>
              <w:t>Valor</w:t>
            </w:r>
          </w:p>
        </w:tc>
        <w:tc>
          <w:tcPr>
            <w:tcW w:w="2760" w:type="dxa"/>
            <w:shd w:val="clear" w:color="auto" w:fill="D9E2F3"/>
          </w:tcPr>
          <w:p w14:paraId="4A423219" w14:textId="77777777" w:rsidR="00817793" w:rsidRDefault="002719FC">
            <w:pPr>
              <w:spacing w:before="120" w:after="120"/>
              <w:jc w:val="center"/>
              <w:rPr>
                <w:b/>
              </w:rPr>
            </w:pPr>
            <w:r>
              <w:rPr>
                <w:b/>
              </w:rPr>
              <w:t>Intervalo (se pertinente)</w:t>
            </w:r>
          </w:p>
        </w:tc>
        <w:tc>
          <w:tcPr>
            <w:tcW w:w="2055" w:type="dxa"/>
            <w:shd w:val="clear" w:color="auto" w:fill="D9E2F3"/>
          </w:tcPr>
          <w:p w14:paraId="6FBC5B1B" w14:textId="77777777" w:rsidR="00817793" w:rsidRDefault="002719FC">
            <w:pPr>
              <w:spacing w:before="120" w:after="120"/>
              <w:jc w:val="center"/>
              <w:rPr>
                <w:b/>
              </w:rPr>
            </w:pPr>
            <w:r>
              <w:rPr>
                <w:b/>
              </w:rPr>
              <w:t>Referência</w:t>
            </w:r>
          </w:p>
        </w:tc>
      </w:tr>
      <w:tr w:rsidR="00817793" w14:paraId="298DDF07" w14:textId="77777777">
        <w:tc>
          <w:tcPr>
            <w:tcW w:w="2505" w:type="dxa"/>
            <w:vAlign w:val="center"/>
          </w:tcPr>
          <w:p w14:paraId="6407829D" w14:textId="77777777" w:rsidR="00817793" w:rsidRDefault="002719FC">
            <w:pPr>
              <w:spacing w:before="120" w:after="120"/>
            </w:pPr>
            <w:proofErr w:type="spellStart"/>
            <w:r>
              <w:t>Anifrolumabe</w:t>
            </w:r>
            <w:proofErr w:type="spellEnd"/>
            <w:r>
              <w:t xml:space="preserve"> 300mg</w:t>
            </w:r>
          </w:p>
        </w:tc>
        <w:tc>
          <w:tcPr>
            <w:tcW w:w="1860" w:type="dxa"/>
          </w:tcPr>
          <w:p w14:paraId="45E6111B" w14:textId="77777777" w:rsidR="00817793" w:rsidRDefault="002719FC">
            <w:pPr>
              <w:spacing w:before="120" w:after="120"/>
              <w:jc w:val="center"/>
            </w:pPr>
            <w:r>
              <w:t>R$ 5.583,49</w:t>
            </w:r>
          </w:p>
        </w:tc>
        <w:tc>
          <w:tcPr>
            <w:tcW w:w="2760" w:type="dxa"/>
            <w:vAlign w:val="center"/>
          </w:tcPr>
          <w:p w14:paraId="6B434E8C" w14:textId="77777777" w:rsidR="00817793" w:rsidRDefault="002719FC">
            <w:pPr>
              <w:spacing w:before="120" w:after="120"/>
              <w:jc w:val="center"/>
            </w:pPr>
            <w:r>
              <w:t>300 mg a cada 4 semanas</w:t>
            </w:r>
          </w:p>
          <w:p w14:paraId="7815CDD7" w14:textId="77777777" w:rsidR="00817793" w:rsidRDefault="002719FC">
            <w:pPr>
              <w:spacing w:before="120" w:after="120"/>
              <w:jc w:val="center"/>
            </w:pPr>
            <w:r>
              <w:t>(13,04 doses/ano)</w:t>
            </w:r>
          </w:p>
        </w:tc>
        <w:tc>
          <w:tcPr>
            <w:tcW w:w="2055" w:type="dxa"/>
          </w:tcPr>
          <w:p w14:paraId="2CE5667E" w14:textId="77777777" w:rsidR="00817793" w:rsidRDefault="002719FC">
            <w:pPr>
              <w:spacing w:before="120" w:after="120"/>
              <w:jc w:val="center"/>
            </w:pPr>
            <w:r>
              <w:t>CMED, 2024</w:t>
            </w:r>
          </w:p>
        </w:tc>
      </w:tr>
      <w:tr w:rsidR="00817793" w14:paraId="3C02C90B" w14:textId="77777777">
        <w:tc>
          <w:tcPr>
            <w:tcW w:w="2505" w:type="dxa"/>
            <w:vAlign w:val="center"/>
          </w:tcPr>
          <w:p w14:paraId="7E33BBBC" w14:textId="77777777" w:rsidR="00817793" w:rsidRDefault="002719FC">
            <w:pPr>
              <w:spacing w:before="120" w:after="120"/>
            </w:pPr>
            <w:r>
              <w:t>Infusão do medicamento</w:t>
            </w:r>
          </w:p>
        </w:tc>
        <w:tc>
          <w:tcPr>
            <w:tcW w:w="1860" w:type="dxa"/>
          </w:tcPr>
          <w:p w14:paraId="6722E8EF" w14:textId="77777777" w:rsidR="00817793" w:rsidRDefault="002719FC">
            <w:pPr>
              <w:spacing w:before="120" w:after="120"/>
              <w:jc w:val="center"/>
            </w:pPr>
            <w:r>
              <w:t>R$ 173,67</w:t>
            </w:r>
          </w:p>
        </w:tc>
        <w:tc>
          <w:tcPr>
            <w:tcW w:w="2760" w:type="dxa"/>
            <w:vAlign w:val="center"/>
          </w:tcPr>
          <w:p w14:paraId="3CC7392D" w14:textId="77777777" w:rsidR="00817793" w:rsidRDefault="002719FC">
            <w:pPr>
              <w:spacing w:before="120" w:after="120"/>
              <w:jc w:val="center"/>
            </w:pPr>
            <w:r>
              <w:t>13,04 doses/ano</w:t>
            </w:r>
          </w:p>
        </w:tc>
        <w:tc>
          <w:tcPr>
            <w:tcW w:w="2055" w:type="dxa"/>
          </w:tcPr>
          <w:p w14:paraId="4B209329" w14:textId="77777777" w:rsidR="00817793" w:rsidRDefault="002719FC">
            <w:pPr>
              <w:spacing w:before="120" w:after="120"/>
              <w:jc w:val="center"/>
            </w:pPr>
            <w:r>
              <w:t>D-TISS, 2023</w:t>
            </w:r>
          </w:p>
        </w:tc>
      </w:tr>
      <w:tr w:rsidR="00817793" w14:paraId="4067FA8E" w14:textId="77777777">
        <w:tc>
          <w:tcPr>
            <w:tcW w:w="2505" w:type="dxa"/>
            <w:vAlign w:val="center"/>
          </w:tcPr>
          <w:p w14:paraId="374E52B3" w14:textId="77777777" w:rsidR="00817793" w:rsidRDefault="002719FC">
            <w:pPr>
              <w:spacing w:before="120" w:after="120"/>
            </w:pPr>
            <w:r>
              <w:t>Custo associado a exacerbações</w:t>
            </w:r>
          </w:p>
        </w:tc>
        <w:tc>
          <w:tcPr>
            <w:tcW w:w="1860" w:type="dxa"/>
          </w:tcPr>
          <w:p w14:paraId="659B167E" w14:textId="77777777" w:rsidR="00817793" w:rsidRDefault="002719FC">
            <w:pPr>
              <w:pBdr>
                <w:top w:val="nil"/>
                <w:left w:val="nil"/>
                <w:bottom w:val="nil"/>
                <w:right w:val="nil"/>
                <w:between w:val="nil"/>
              </w:pBdr>
              <w:spacing w:before="120" w:after="120"/>
              <w:jc w:val="center"/>
            </w:pPr>
            <w:r>
              <w:t>R$</w:t>
            </w:r>
          </w:p>
          <w:p w14:paraId="5B4CAD38" w14:textId="77777777" w:rsidR="00817793" w:rsidRDefault="002719FC">
            <w:pPr>
              <w:pBdr>
                <w:top w:val="nil"/>
                <w:left w:val="nil"/>
                <w:bottom w:val="nil"/>
                <w:right w:val="nil"/>
                <w:between w:val="nil"/>
              </w:pBdr>
              <w:spacing w:before="120" w:after="120"/>
              <w:jc w:val="center"/>
            </w:pPr>
            <w:r>
              <w:t>19.011,57 (custo médio)</w:t>
            </w:r>
          </w:p>
          <w:p w14:paraId="7E75FCD0" w14:textId="77777777" w:rsidR="00817793" w:rsidRDefault="00817793">
            <w:pPr>
              <w:pBdr>
                <w:top w:val="nil"/>
                <w:left w:val="nil"/>
                <w:bottom w:val="nil"/>
                <w:right w:val="nil"/>
                <w:between w:val="nil"/>
              </w:pBdr>
              <w:spacing w:before="120" w:after="120"/>
              <w:jc w:val="center"/>
            </w:pPr>
          </w:p>
        </w:tc>
        <w:tc>
          <w:tcPr>
            <w:tcW w:w="2760" w:type="dxa"/>
            <w:vAlign w:val="center"/>
          </w:tcPr>
          <w:p w14:paraId="0BE14808" w14:textId="77777777" w:rsidR="00817793" w:rsidRDefault="002719FC">
            <w:pPr>
              <w:spacing w:before="120" w:after="120"/>
              <w:jc w:val="center"/>
            </w:pPr>
            <w:r>
              <w:t>-</w:t>
            </w:r>
          </w:p>
        </w:tc>
        <w:tc>
          <w:tcPr>
            <w:tcW w:w="2055" w:type="dxa"/>
          </w:tcPr>
          <w:p w14:paraId="53C80CAF" w14:textId="77777777" w:rsidR="00817793" w:rsidRDefault="002719FC">
            <w:pPr>
              <w:spacing w:before="120" w:after="120"/>
              <w:jc w:val="center"/>
            </w:pPr>
            <w:r>
              <w:t>Hospitalizações (dados do TISS) de pacientes com CID-10 M32 (LES), M32.1 (LES com acometimento orgânico) e M32.9 (LES não especificado)</w:t>
            </w:r>
          </w:p>
        </w:tc>
      </w:tr>
      <w:tr w:rsidR="00817793" w14:paraId="73EF76FF" w14:textId="77777777">
        <w:tc>
          <w:tcPr>
            <w:tcW w:w="2505" w:type="dxa"/>
            <w:vAlign w:val="center"/>
          </w:tcPr>
          <w:p w14:paraId="20244C98" w14:textId="77777777" w:rsidR="00817793" w:rsidRDefault="002719FC">
            <w:pPr>
              <w:spacing w:before="120" w:after="120"/>
            </w:pPr>
            <w:r>
              <w:t>Custos associados a lesões orgânicas (SDI)</w:t>
            </w:r>
          </w:p>
        </w:tc>
        <w:tc>
          <w:tcPr>
            <w:tcW w:w="1860" w:type="dxa"/>
          </w:tcPr>
          <w:p w14:paraId="52F95ACC" w14:textId="77777777" w:rsidR="00817793" w:rsidRDefault="002719FC">
            <w:pPr>
              <w:spacing w:before="120" w:after="120"/>
              <w:jc w:val="center"/>
            </w:pPr>
            <w:r>
              <w:t>R$ 16.101,51 (média ponderada)</w:t>
            </w:r>
          </w:p>
        </w:tc>
        <w:tc>
          <w:tcPr>
            <w:tcW w:w="2760" w:type="dxa"/>
            <w:vAlign w:val="center"/>
          </w:tcPr>
          <w:p w14:paraId="09FA2A7E" w14:textId="77777777" w:rsidR="00817793" w:rsidRDefault="002719FC">
            <w:pPr>
              <w:spacing w:before="120" w:after="120"/>
              <w:jc w:val="center"/>
            </w:pPr>
            <w:r>
              <w:t>-</w:t>
            </w:r>
          </w:p>
        </w:tc>
        <w:tc>
          <w:tcPr>
            <w:tcW w:w="2055" w:type="dxa"/>
          </w:tcPr>
          <w:p w14:paraId="559B507F" w14:textId="77777777" w:rsidR="00817793" w:rsidRDefault="002719FC">
            <w:pPr>
              <w:spacing w:before="120" w:after="120"/>
              <w:jc w:val="center"/>
            </w:pPr>
            <w:r>
              <w:t>Hospitalizações relacionadas a diferentes lesões orgânicas, a partir do D-TISS</w:t>
            </w:r>
          </w:p>
        </w:tc>
      </w:tr>
      <w:tr w:rsidR="00817793" w14:paraId="1FB458BF" w14:textId="77777777">
        <w:tc>
          <w:tcPr>
            <w:tcW w:w="2505" w:type="dxa"/>
            <w:vAlign w:val="center"/>
          </w:tcPr>
          <w:p w14:paraId="54EE8F8F" w14:textId="77777777" w:rsidR="00817793" w:rsidRDefault="002719FC">
            <w:pPr>
              <w:spacing w:before="120" w:after="120"/>
            </w:pPr>
            <w:r>
              <w:t xml:space="preserve">Custos de eventos adversos relacionados ao </w:t>
            </w:r>
            <w:proofErr w:type="spellStart"/>
            <w:r>
              <w:t>anifrolumabe</w:t>
            </w:r>
            <w:proofErr w:type="spellEnd"/>
          </w:p>
        </w:tc>
        <w:tc>
          <w:tcPr>
            <w:tcW w:w="1860" w:type="dxa"/>
          </w:tcPr>
          <w:p w14:paraId="36FD79FE" w14:textId="77777777" w:rsidR="00817793" w:rsidRDefault="002719FC">
            <w:pPr>
              <w:spacing w:before="120" w:after="120"/>
              <w:jc w:val="center"/>
            </w:pPr>
            <w:r>
              <w:t>Vide Tabela 4 do documento “20242000246_Estudo de Análise de Impacto Orçamentário – AIO”</w:t>
            </w:r>
          </w:p>
        </w:tc>
        <w:tc>
          <w:tcPr>
            <w:tcW w:w="2760" w:type="dxa"/>
            <w:vAlign w:val="center"/>
          </w:tcPr>
          <w:p w14:paraId="237AFA41" w14:textId="77777777" w:rsidR="00817793" w:rsidRDefault="002719FC">
            <w:pPr>
              <w:spacing w:before="120" w:after="120"/>
              <w:jc w:val="center"/>
            </w:pPr>
            <w:r>
              <w:t>-</w:t>
            </w:r>
          </w:p>
        </w:tc>
        <w:tc>
          <w:tcPr>
            <w:tcW w:w="2055" w:type="dxa"/>
          </w:tcPr>
          <w:p w14:paraId="741B07B2" w14:textId="77777777" w:rsidR="00817793" w:rsidRDefault="002719FC">
            <w:pPr>
              <w:spacing w:before="120" w:after="120"/>
              <w:jc w:val="center"/>
            </w:pPr>
            <w:r>
              <w:t>Custos ambulatoriais de medicamentos e consultas relacionadas aos eventos adversos</w:t>
            </w:r>
          </w:p>
          <w:p w14:paraId="10FDAA0E" w14:textId="77777777" w:rsidR="00817793" w:rsidRDefault="00817793">
            <w:pPr>
              <w:spacing w:before="120" w:after="120"/>
              <w:jc w:val="center"/>
            </w:pPr>
          </w:p>
        </w:tc>
      </w:tr>
      <w:tr w:rsidR="00817793" w14:paraId="058499D7" w14:textId="77777777">
        <w:tc>
          <w:tcPr>
            <w:tcW w:w="9180" w:type="dxa"/>
            <w:gridSpan w:val="4"/>
            <w:shd w:val="clear" w:color="auto" w:fill="D9E2F3"/>
            <w:vAlign w:val="center"/>
          </w:tcPr>
          <w:p w14:paraId="75345B10" w14:textId="77777777" w:rsidR="00817793" w:rsidRDefault="002719FC">
            <w:pPr>
              <w:spacing w:before="120" w:after="120"/>
              <w:jc w:val="center"/>
              <w:rPr>
                <w:b/>
              </w:rPr>
            </w:pPr>
            <w:r>
              <w:rPr>
                <w:b/>
              </w:rPr>
              <w:t>Parecerista</w:t>
            </w:r>
          </w:p>
        </w:tc>
      </w:tr>
      <w:tr w:rsidR="00817793" w14:paraId="1002ABDC" w14:textId="77777777">
        <w:tc>
          <w:tcPr>
            <w:tcW w:w="2505" w:type="dxa"/>
            <w:shd w:val="clear" w:color="auto" w:fill="D9E2F3"/>
            <w:vAlign w:val="center"/>
          </w:tcPr>
          <w:p w14:paraId="25615C32" w14:textId="77777777" w:rsidR="00817793" w:rsidRDefault="002719FC">
            <w:pPr>
              <w:spacing w:before="120" w:after="120"/>
              <w:jc w:val="center"/>
              <w:rPr>
                <w:b/>
              </w:rPr>
            </w:pPr>
            <w:r>
              <w:rPr>
                <w:b/>
              </w:rPr>
              <w:t>Item</w:t>
            </w:r>
          </w:p>
        </w:tc>
        <w:tc>
          <w:tcPr>
            <w:tcW w:w="1860" w:type="dxa"/>
            <w:shd w:val="clear" w:color="auto" w:fill="D9E2F3"/>
          </w:tcPr>
          <w:p w14:paraId="2DFFE6CD" w14:textId="77777777" w:rsidR="00817793" w:rsidRDefault="002719FC">
            <w:pPr>
              <w:spacing w:before="120" w:after="120"/>
              <w:jc w:val="center"/>
            </w:pPr>
            <w:r>
              <w:rPr>
                <w:b/>
              </w:rPr>
              <w:t>Valor</w:t>
            </w:r>
          </w:p>
        </w:tc>
        <w:tc>
          <w:tcPr>
            <w:tcW w:w="2760" w:type="dxa"/>
            <w:shd w:val="clear" w:color="auto" w:fill="D9E2F3"/>
          </w:tcPr>
          <w:p w14:paraId="580C5DAA" w14:textId="77777777" w:rsidR="00817793" w:rsidRDefault="002719FC">
            <w:pPr>
              <w:spacing w:before="120" w:after="120"/>
              <w:jc w:val="center"/>
            </w:pPr>
            <w:r>
              <w:rPr>
                <w:b/>
              </w:rPr>
              <w:t>Intervalo (se pertinente)</w:t>
            </w:r>
          </w:p>
        </w:tc>
        <w:tc>
          <w:tcPr>
            <w:tcW w:w="2055" w:type="dxa"/>
            <w:shd w:val="clear" w:color="auto" w:fill="D9E2F3"/>
          </w:tcPr>
          <w:p w14:paraId="4C9D53A0" w14:textId="77777777" w:rsidR="00817793" w:rsidRDefault="002719FC">
            <w:pPr>
              <w:spacing w:before="120" w:after="120"/>
              <w:jc w:val="center"/>
            </w:pPr>
            <w:r>
              <w:rPr>
                <w:b/>
              </w:rPr>
              <w:t>Referência</w:t>
            </w:r>
          </w:p>
        </w:tc>
      </w:tr>
      <w:tr w:rsidR="00817793" w14:paraId="08DD522A" w14:textId="77777777">
        <w:tc>
          <w:tcPr>
            <w:tcW w:w="2505" w:type="dxa"/>
            <w:vAlign w:val="center"/>
          </w:tcPr>
          <w:p w14:paraId="2F8546E3" w14:textId="77777777" w:rsidR="00817793" w:rsidRDefault="002719FC">
            <w:pPr>
              <w:spacing w:before="120" w:after="120"/>
            </w:pPr>
            <w:proofErr w:type="spellStart"/>
            <w:r>
              <w:t>Anifrolumabe</w:t>
            </w:r>
            <w:proofErr w:type="spellEnd"/>
            <w:r>
              <w:t xml:space="preserve"> 300mg</w:t>
            </w:r>
          </w:p>
        </w:tc>
        <w:tc>
          <w:tcPr>
            <w:tcW w:w="1860" w:type="dxa"/>
          </w:tcPr>
          <w:p w14:paraId="18B51096" w14:textId="77777777" w:rsidR="00817793" w:rsidRDefault="002719FC">
            <w:pPr>
              <w:spacing w:before="120" w:after="120"/>
              <w:jc w:val="center"/>
            </w:pPr>
            <w:r>
              <w:t>R$ 5.583,49</w:t>
            </w:r>
          </w:p>
        </w:tc>
        <w:tc>
          <w:tcPr>
            <w:tcW w:w="2760" w:type="dxa"/>
            <w:vAlign w:val="center"/>
          </w:tcPr>
          <w:p w14:paraId="4BD47767" w14:textId="77777777" w:rsidR="00817793" w:rsidRDefault="002719FC">
            <w:pPr>
              <w:spacing w:before="120" w:after="120"/>
              <w:jc w:val="center"/>
            </w:pPr>
            <w:r>
              <w:t>300 mg a cada 4 semanas</w:t>
            </w:r>
          </w:p>
          <w:p w14:paraId="6961E1AC" w14:textId="77777777" w:rsidR="00817793" w:rsidRDefault="002719FC">
            <w:pPr>
              <w:spacing w:before="120" w:after="120"/>
              <w:jc w:val="center"/>
            </w:pPr>
            <w:r>
              <w:t>(13,04 doses/ano)</w:t>
            </w:r>
          </w:p>
        </w:tc>
        <w:tc>
          <w:tcPr>
            <w:tcW w:w="2055" w:type="dxa"/>
          </w:tcPr>
          <w:p w14:paraId="53C03608" w14:textId="77777777" w:rsidR="00817793" w:rsidRDefault="002719FC">
            <w:pPr>
              <w:spacing w:before="120" w:after="120"/>
              <w:jc w:val="center"/>
            </w:pPr>
            <w:r>
              <w:t>CMED, 2024</w:t>
            </w:r>
          </w:p>
        </w:tc>
      </w:tr>
      <w:tr w:rsidR="00817793" w14:paraId="581BE570" w14:textId="77777777">
        <w:tc>
          <w:tcPr>
            <w:tcW w:w="2505" w:type="dxa"/>
            <w:vAlign w:val="center"/>
          </w:tcPr>
          <w:p w14:paraId="21A754D8" w14:textId="77777777" w:rsidR="00817793" w:rsidRDefault="002719FC">
            <w:pPr>
              <w:spacing w:before="120" w:after="120"/>
            </w:pPr>
            <w:r>
              <w:t>Infusão do medicamento</w:t>
            </w:r>
          </w:p>
        </w:tc>
        <w:tc>
          <w:tcPr>
            <w:tcW w:w="1860" w:type="dxa"/>
          </w:tcPr>
          <w:p w14:paraId="33B2A3C9" w14:textId="77777777" w:rsidR="00817793" w:rsidRDefault="002719FC">
            <w:pPr>
              <w:spacing w:before="120" w:after="120"/>
              <w:jc w:val="center"/>
            </w:pPr>
            <w:r>
              <w:t>R$ 173,67</w:t>
            </w:r>
          </w:p>
        </w:tc>
        <w:tc>
          <w:tcPr>
            <w:tcW w:w="2760" w:type="dxa"/>
            <w:vAlign w:val="center"/>
          </w:tcPr>
          <w:p w14:paraId="5B3C0449" w14:textId="77777777" w:rsidR="00817793" w:rsidRDefault="002719FC">
            <w:pPr>
              <w:spacing w:before="120" w:after="120"/>
              <w:jc w:val="center"/>
            </w:pPr>
            <w:r>
              <w:t>13,04 doses/ano</w:t>
            </w:r>
          </w:p>
        </w:tc>
        <w:tc>
          <w:tcPr>
            <w:tcW w:w="2055" w:type="dxa"/>
          </w:tcPr>
          <w:p w14:paraId="4E66AEC4" w14:textId="77777777" w:rsidR="00817793" w:rsidRDefault="002719FC">
            <w:pPr>
              <w:spacing w:before="120" w:after="120"/>
              <w:jc w:val="center"/>
            </w:pPr>
            <w:r>
              <w:t>D-TISS, 2023</w:t>
            </w:r>
          </w:p>
        </w:tc>
      </w:tr>
      <w:tr w:rsidR="00817793" w14:paraId="6C55ECC2" w14:textId="77777777">
        <w:tc>
          <w:tcPr>
            <w:tcW w:w="2505" w:type="dxa"/>
            <w:vAlign w:val="center"/>
          </w:tcPr>
          <w:p w14:paraId="0587F4C6" w14:textId="77777777" w:rsidR="00817793" w:rsidRDefault="002719FC">
            <w:pPr>
              <w:spacing w:before="120" w:after="120"/>
            </w:pPr>
            <w:r>
              <w:lastRenderedPageBreak/>
              <w:t>Custo associado a exacerbações</w:t>
            </w:r>
          </w:p>
        </w:tc>
        <w:tc>
          <w:tcPr>
            <w:tcW w:w="1860" w:type="dxa"/>
          </w:tcPr>
          <w:p w14:paraId="73C34341" w14:textId="77777777" w:rsidR="00817793" w:rsidRDefault="002719FC">
            <w:pPr>
              <w:spacing w:before="120" w:after="120"/>
              <w:jc w:val="center"/>
            </w:pPr>
            <w:r>
              <w:t>R$</w:t>
            </w:r>
          </w:p>
          <w:p w14:paraId="1F124D0C" w14:textId="77777777" w:rsidR="00817793" w:rsidRDefault="002719FC">
            <w:pPr>
              <w:spacing w:before="120" w:after="120"/>
              <w:jc w:val="center"/>
            </w:pPr>
            <w:r>
              <w:t>19.011,57 (custo médio)</w:t>
            </w:r>
          </w:p>
          <w:p w14:paraId="774AF2BF" w14:textId="77777777" w:rsidR="00817793" w:rsidRDefault="00817793">
            <w:pPr>
              <w:spacing w:before="120" w:after="120"/>
              <w:jc w:val="center"/>
            </w:pPr>
          </w:p>
        </w:tc>
        <w:tc>
          <w:tcPr>
            <w:tcW w:w="2760" w:type="dxa"/>
            <w:vAlign w:val="center"/>
          </w:tcPr>
          <w:p w14:paraId="3AD8BB85" w14:textId="77777777" w:rsidR="00817793" w:rsidRDefault="002719FC">
            <w:pPr>
              <w:spacing w:before="120" w:after="120"/>
              <w:jc w:val="center"/>
            </w:pPr>
            <w:r>
              <w:t>-</w:t>
            </w:r>
          </w:p>
        </w:tc>
        <w:tc>
          <w:tcPr>
            <w:tcW w:w="2055" w:type="dxa"/>
          </w:tcPr>
          <w:p w14:paraId="71FD2631" w14:textId="77777777" w:rsidR="00817793" w:rsidRDefault="002719FC">
            <w:pPr>
              <w:spacing w:before="120" w:after="120"/>
              <w:jc w:val="center"/>
            </w:pPr>
            <w:r>
              <w:t>Idem proponente</w:t>
            </w:r>
          </w:p>
        </w:tc>
      </w:tr>
      <w:tr w:rsidR="00817793" w14:paraId="5017F6DB" w14:textId="77777777">
        <w:tc>
          <w:tcPr>
            <w:tcW w:w="2505" w:type="dxa"/>
            <w:vAlign w:val="center"/>
          </w:tcPr>
          <w:p w14:paraId="267F36CA" w14:textId="77777777" w:rsidR="00817793" w:rsidRDefault="002719FC">
            <w:pPr>
              <w:spacing w:before="120" w:after="120"/>
            </w:pPr>
            <w:r>
              <w:t>Custos associados a lesões orgânicas (SDI)</w:t>
            </w:r>
          </w:p>
        </w:tc>
        <w:tc>
          <w:tcPr>
            <w:tcW w:w="1860" w:type="dxa"/>
          </w:tcPr>
          <w:p w14:paraId="54A1BCD6" w14:textId="77777777" w:rsidR="00817793" w:rsidRDefault="002719FC">
            <w:pPr>
              <w:spacing w:before="120" w:after="120"/>
              <w:jc w:val="center"/>
            </w:pPr>
            <w:r>
              <w:t>R$ 16.101,51 (média ponderada)</w:t>
            </w:r>
          </w:p>
        </w:tc>
        <w:tc>
          <w:tcPr>
            <w:tcW w:w="2760" w:type="dxa"/>
            <w:vAlign w:val="center"/>
          </w:tcPr>
          <w:p w14:paraId="3AC2E41B" w14:textId="77777777" w:rsidR="00817793" w:rsidRDefault="002719FC">
            <w:pPr>
              <w:spacing w:before="120" w:after="120"/>
              <w:jc w:val="center"/>
            </w:pPr>
            <w:r>
              <w:t>-</w:t>
            </w:r>
          </w:p>
        </w:tc>
        <w:tc>
          <w:tcPr>
            <w:tcW w:w="2055" w:type="dxa"/>
          </w:tcPr>
          <w:p w14:paraId="33B05527" w14:textId="77777777" w:rsidR="00817793" w:rsidRDefault="002719FC">
            <w:pPr>
              <w:spacing w:before="120" w:after="120"/>
              <w:jc w:val="center"/>
            </w:pPr>
            <w:r>
              <w:t>Idem proponente</w:t>
            </w:r>
          </w:p>
        </w:tc>
      </w:tr>
    </w:tbl>
    <w:p w14:paraId="7A292896" w14:textId="77777777" w:rsidR="00817793" w:rsidRDefault="00817793"/>
    <w:tbl>
      <w:tblPr>
        <w:tblStyle w:val="afff5"/>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7A9185E" w14:textId="77777777">
        <w:trPr>
          <w:trHeight w:val="416"/>
        </w:trPr>
        <w:tc>
          <w:tcPr>
            <w:tcW w:w="9072" w:type="dxa"/>
            <w:shd w:val="clear" w:color="auto" w:fill="D9E2F3"/>
          </w:tcPr>
          <w:p w14:paraId="4665FFBC" w14:textId="77777777" w:rsidR="00817793" w:rsidRDefault="002719FC">
            <w:pPr>
              <w:spacing w:before="0" w:after="0"/>
              <w:jc w:val="center"/>
              <w:rPr>
                <w:b/>
              </w:rPr>
            </w:pPr>
            <w:r>
              <w:rPr>
                <w:b/>
              </w:rPr>
              <w:t>Comentários principais sobre os parâmetros de custo e fontes de dados</w:t>
            </w:r>
          </w:p>
        </w:tc>
      </w:tr>
      <w:tr w:rsidR="00817793" w14:paraId="2972437F" w14:textId="77777777">
        <w:trPr>
          <w:trHeight w:val="750"/>
        </w:trPr>
        <w:tc>
          <w:tcPr>
            <w:tcW w:w="9072" w:type="dxa"/>
          </w:tcPr>
          <w:p w14:paraId="5205F45F" w14:textId="77777777" w:rsidR="00817793" w:rsidRDefault="002719FC">
            <w:pPr>
              <w:spacing w:before="120" w:after="120" w:line="240" w:lineRule="auto"/>
            </w:pPr>
            <w:r>
              <w:t xml:space="preserve">Falta transparência e detalhamento sobre os dados de custo de hospitalização de pacientes com lúpus a partir de pesquisa dos códigos CID no D-TISS, para cálculo do custo das exacerbações e SDI. </w:t>
            </w:r>
          </w:p>
          <w:p w14:paraId="49B1CE12" w14:textId="77777777" w:rsidR="00817793" w:rsidRDefault="002719FC">
            <w:pPr>
              <w:spacing w:before="120" w:after="120" w:line="240" w:lineRule="auto"/>
            </w:pPr>
            <w:r>
              <w:t xml:space="preserve">O parecerista optou por não incluir os custos com eventos adversos, assim como custos com óbito e com consultas e exames (utilizados nos cálculos da avaliação econômica) pois </w:t>
            </w:r>
            <w:r>
              <w:rPr>
                <w:highlight w:val="white"/>
              </w:rPr>
              <w:t>considera-se que não haverá diferença significativa entre os grupos com relação a estes custos, especialmente no horizonte de 5 anos.</w:t>
            </w:r>
            <w:r>
              <w:t xml:space="preserve">  </w:t>
            </w:r>
          </w:p>
        </w:tc>
      </w:tr>
    </w:tbl>
    <w:p w14:paraId="2191599E" w14:textId="77777777" w:rsidR="00817793" w:rsidRDefault="00817793"/>
    <w:p w14:paraId="7673E5AE" w14:textId="77777777" w:rsidR="00817793" w:rsidRDefault="00817793">
      <w:pPr>
        <w:pStyle w:val="Ttulo4"/>
      </w:pPr>
      <w:bookmarkStart w:id="72" w:name="_z6rpht57dk1a" w:colFirst="0" w:colLast="0"/>
      <w:bookmarkEnd w:id="72"/>
    </w:p>
    <w:tbl>
      <w:tblPr>
        <w:tblStyle w:val="afff6"/>
        <w:tblpPr w:leftFromText="180" w:rightFromText="180" w:topFromText="180" w:bottomFromText="180" w:vertAnchor="text" w:tblpX="-82"/>
        <w:tblW w:w="9195" w:type="dxa"/>
        <w:tblInd w:w="0" w:type="dxa"/>
        <w:tblBorders>
          <w:top w:val="single" w:sz="4" w:space="0" w:color="D9E2F3"/>
          <w:left w:val="single" w:sz="4" w:space="0" w:color="D9E2F3"/>
          <w:bottom w:val="single" w:sz="4" w:space="0" w:color="D9E2F3"/>
          <w:right w:val="single" w:sz="4" w:space="0" w:color="D9E2F3"/>
          <w:insideH w:val="single" w:sz="4" w:space="0" w:color="D9E2F3"/>
          <w:insideV w:val="single" w:sz="4" w:space="0" w:color="D9E2F3"/>
        </w:tblBorders>
        <w:tblLayout w:type="fixed"/>
        <w:tblLook w:val="0400" w:firstRow="0" w:lastRow="0" w:firstColumn="0" w:lastColumn="0" w:noHBand="0" w:noVBand="1"/>
      </w:tblPr>
      <w:tblGrid>
        <w:gridCol w:w="1245"/>
        <w:gridCol w:w="2115"/>
        <w:gridCol w:w="1800"/>
        <w:gridCol w:w="2100"/>
        <w:gridCol w:w="1935"/>
      </w:tblGrid>
      <w:tr w:rsidR="00817793" w14:paraId="12427D72" w14:textId="77777777">
        <w:trPr>
          <w:trHeight w:val="220"/>
        </w:trPr>
        <w:tc>
          <w:tcPr>
            <w:tcW w:w="9195" w:type="dxa"/>
            <w:gridSpan w:val="5"/>
            <w:shd w:val="clear" w:color="auto" w:fill="D9E2F3"/>
            <w:vAlign w:val="center"/>
          </w:tcPr>
          <w:p w14:paraId="58FAC8CC" w14:textId="77777777" w:rsidR="00817793" w:rsidRDefault="002719FC">
            <w:pPr>
              <w:spacing w:before="60" w:after="60"/>
              <w:jc w:val="center"/>
              <w:rPr>
                <w:b/>
                <w:highlight w:val="yellow"/>
              </w:rPr>
            </w:pPr>
            <w:r>
              <w:rPr>
                <w:b/>
              </w:rPr>
              <w:t>Proponente</w:t>
            </w:r>
          </w:p>
        </w:tc>
      </w:tr>
      <w:tr w:rsidR="00817793" w14:paraId="4008010D" w14:textId="77777777">
        <w:tc>
          <w:tcPr>
            <w:tcW w:w="1245" w:type="dxa"/>
            <w:shd w:val="clear" w:color="auto" w:fill="D9E2F3"/>
            <w:vAlign w:val="center"/>
          </w:tcPr>
          <w:p w14:paraId="2D20BAA9" w14:textId="77777777" w:rsidR="00817793" w:rsidRDefault="002719FC">
            <w:pPr>
              <w:spacing w:before="60" w:after="60"/>
              <w:jc w:val="center"/>
              <w:rPr>
                <w:b/>
              </w:rPr>
            </w:pPr>
            <w:r>
              <w:rPr>
                <w:b/>
              </w:rPr>
              <w:t>Período</w:t>
            </w:r>
          </w:p>
        </w:tc>
        <w:tc>
          <w:tcPr>
            <w:tcW w:w="2115" w:type="dxa"/>
            <w:shd w:val="clear" w:color="auto" w:fill="D9E2F3"/>
            <w:vAlign w:val="center"/>
          </w:tcPr>
          <w:p w14:paraId="23E3C559" w14:textId="77777777" w:rsidR="00817793" w:rsidRDefault="002719FC">
            <w:pPr>
              <w:spacing w:before="60" w:after="60"/>
              <w:jc w:val="center"/>
              <w:rPr>
                <w:b/>
              </w:rPr>
            </w:pPr>
            <w:r>
              <w:rPr>
                <w:b/>
              </w:rPr>
              <w:t>Cenário de Referência</w:t>
            </w:r>
          </w:p>
        </w:tc>
        <w:tc>
          <w:tcPr>
            <w:tcW w:w="1800" w:type="dxa"/>
            <w:shd w:val="clear" w:color="auto" w:fill="D9E2F3"/>
            <w:vAlign w:val="center"/>
          </w:tcPr>
          <w:p w14:paraId="1C42F5C6" w14:textId="77777777" w:rsidR="00817793" w:rsidRDefault="002719FC">
            <w:pPr>
              <w:spacing w:before="60" w:after="60"/>
              <w:jc w:val="center"/>
              <w:rPr>
                <w:b/>
              </w:rPr>
            </w:pPr>
            <w:r>
              <w:rPr>
                <w:b/>
              </w:rPr>
              <w:t>Cenário base</w:t>
            </w:r>
          </w:p>
        </w:tc>
        <w:tc>
          <w:tcPr>
            <w:tcW w:w="2100" w:type="dxa"/>
            <w:shd w:val="clear" w:color="auto" w:fill="D9E2F3"/>
            <w:vAlign w:val="center"/>
          </w:tcPr>
          <w:p w14:paraId="6A168108" w14:textId="77777777" w:rsidR="00817793" w:rsidRDefault="002719FC">
            <w:pPr>
              <w:spacing w:before="60" w:after="60"/>
              <w:jc w:val="center"/>
              <w:rPr>
                <w:b/>
              </w:rPr>
            </w:pPr>
            <w:r>
              <w:rPr>
                <w:b/>
              </w:rPr>
              <w:t>Cenário incorporação rápida</w:t>
            </w:r>
          </w:p>
        </w:tc>
        <w:tc>
          <w:tcPr>
            <w:tcW w:w="1935" w:type="dxa"/>
            <w:shd w:val="clear" w:color="auto" w:fill="D9E2F3"/>
            <w:vAlign w:val="center"/>
          </w:tcPr>
          <w:p w14:paraId="799E9B64" w14:textId="77777777" w:rsidR="00817793" w:rsidRDefault="002719FC">
            <w:pPr>
              <w:spacing w:before="60" w:after="60"/>
              <w:jc w:val="center"/>
              <w:rPr>
                <w:b/>
              </w:rPr>
            </w:pPr>
            <w:r>
              <w:rPr>
                <w:b/>
              </w:rPr>
              <w:t>Cenário incorporação lenta</w:t>
            </w:r>
          </w:p>
        </w:tc>
      </w:tr>
      <w:tr w:rsidR="00817793" w14:paraId="340F906E" w14:textId="77777777">
        <w:tc>
          <w:tcPr>
            <w:tcW w:w="1245" w:type="dxa"/>
          </w:tcPr>
          <w:p w14:paraId="3C32F1D6" w14:textId="77777777" w:rsidR="00817793" w:rsidRDefault="002719FC">
            <w:pPr>
              <w:spacing w:before="60" w:after="60"/>
              <w:jc w:val="center"/>
            </w:pPr>
            <w:r>
              <w:t>2025</w:t>
            </w:r>
          </w:p>
        </w:tc>
        <w:tc>
          <w:tcPr>
            <w:tcW w:w="2115" w:type="dxa"/>
          </w:tcPr>
          <w:p w14:paraId="59CCCB80" w14:textId="77777777" w:rsidR="00817793" w:rsidRDefault="002719FC">
            <w:pPr>
              <w:spacing w:before="60" w:after="60"/>
              <w:jc w:val="center"/>
            </w:pPr>
            <w:r>
              <w:t>R$ 38.843.228</w:t>
            </w:r>
          </w:p>
        </w:tc>
        <w:tc>
          <w:tcPr>
            <w:tcW w:w="1800" w:type="dxa"/>
            <w:vAlign w:val="center"/>
          </w:tcPr>
          <w:p w14:paraId="53078F95" w14:textId="77777777" w:rsidR="00817793" w:rsidRDefault="002719FC">
            <w:pPr>
              <w:spacing w:before="60" w:after="60"/>
              <w:jc w:val="center"/>
            </w:pPr>
            <w:r>
              <w:t>R$ 63.293.333</w:t>
            </w:r>
          </w:p>
        </w:tc>
        <w:tc>
          <w:tcPr>
            <w:tcW w:w="2100" w:type="dxa"/>
          </w:tcPr>
          <w:p w14:paraId="0356B6BD" w14:textId="77777777" w:rsidR="00817793" w:rsidRDefault="002719FC">
            <w:pPr>
              <w:spacing w:before="60" w:after="60"/>
              <w:jc w:val="center"/>
            </w:pPr>
            <w:r>
              <w:t>R$ 77.963.397</w:t>
            </w:r>
          </w:p>
        </w:tc>
        <w:tc>
          <w:tcPr>
            <w:tcW w:w="1935" w:type="dxa"/>
          </w:tcPr>
          <w:p w14:paraId="11222D3F" w14:textId="77777777" w:rsidR="00817793" w:rsidRDefault="002719FC">
            <w:pPr>
              <w:spacing w:before="60" w:after="60"/>
              <w:jc w:val="center"/>
            </w:pPr>
            <w:r>
              <w:t>R$ 53.513.291</w:t>
            </w:r>
          </w:p>
        </w:tc>
      </w:tr>
      <w:tr w:rsidR="00817793" w14:paraId="633E501C" w14:textId="77777777">
        <w:tc>
          <w:tcPr>
            <w:tcW w:w="1245" w:type="dxa"/>
          </w:tcPr>
          <w:p w14:paraId="4B169B85" w14:textId="77777777" w:rsidR="00817793" w:rsidRDefault="002719FC">
            <w:pPr>
              <w:spacing w:before="60" w:after="60"/>
              <w:jc w:val="center"/>
            </w:pPr>
            <w:r>
              <w:t>2026</w:t>
            </w:r>
          </w:p>
        </w:tc>
        <w:tc>
          <w:tcPr>
            <w:tcW w:w="2115" w:type="dxa"/>
          </w:tcPr>
          <w:p w14:paraId="262A9B85" w14:textId="77777777" w:rsidR="00817793" w:rsidRDefault="002719FC">
            <w:pPr>
              <w:spacing w:before="60" w:after="60"/>
              <w:jc w:val="center"/>
            </w:pPr>
            <w:r>
              <w:t>R$ 72.716.598</w:t>
            </w:r>
          </w:p>
        </w:tc>
        <w:tc>
          <w:tcPr>
            <w:tcW w:w="1800" w:type="dxa"/>
            <w:vAlign w:val="center"/>
          </w:tcPr>
          <w:p w14:paraId="7DE619EA" w14:textId="77777777" w:rsidR="00817793" w:rsidRDefault="002719FC">
            <w:pPr>
              <w:spacing w:before="60" w:after="60"/>
              <w:jc w:val="center"/>
            </w:pPr>
            <w:r>
              <w:t>R$ 105.119.676</w:t>
            </w:r>
          </w:p>
        </w:tc>
        <w:tc>
          <w:tcPr>
            <w:tcW w:w="2100" w:type="dxa"/>
          </w:tcPr>
          <w:p w14:paraId="1DFB608C" w14:textId="77777777" w:rsidR="00817793" w:rsidRDefault="002719FC">
            <w:pPr>
              <w:spacing w:before="60" w:after="60"/>
              <w:jc w:val="center"/>
            </w:pPr>
            <w:r>
              <w:t>R$ 126.524.780</w:t>
            </w:r>
          </w:p>
        </w:tc>
        <w:tc>
          <w:tcPr>
            <w:tcW w:w="1935" w:type="dxa"/>
          </w:tcPr>
          <w:p w14:paraId="26A4E436" w14:textId="77777777" w:rsidR="00817793" w:rsidRDefault="002719FC">
            <w:pPr>
              <w:spacing w:before="60" w:after="60"/>
              <w:jc w:val="center"/>
            </w:pPr>
            <w:r>
              <w:t>R$ 91.667.630</w:t>
            </w:r>
          </w:p>
        </w:tc>
      </w:tr>
      <w:tr w:rsidR="00817793" w14:paraId="16B72AB1" w14:textId="77777777">
        <w:tc>
          <w:tcPr>
            <w:tcW w:w="1245" w:type="dxa"/>
          </w:tcPr>
          <w:p w14:paraId="3EE07E7A" w14:textId="77777777" w:rsidR="00817793" w:rsidRDefault="002719FC">
            <w:pPr>
              <w:spacing w:before="60" w:after="60"/>
              <w:jc w:val="center"/>
            </w:pPr>
            <w:r>
              <w:t>2027</w:t>
            </w:r>
          </w:p>
        </w:tc>
        <w:tc>
          <w:tcPr>
            <w:tcW w:w="2115" w:type="dxa"/>
          </w:tcPr>
          <w:p w14:paraId="008CE0FA" w14:textId="77777777" w:rsidR="00817793" w:rsidRDefault="002719FC">
            <w:pPr>
              <w:spacing w:before="60" w:after="60"/>
              <w:jc w:val="center"/>
            </w:pPr>
            <w:r>
              <w:t>R$ 106.798.033</w:t>
            </w:r>
          </w:p>
        </w:tc>
        <w:tc>
          <w:tcPr>
            <w:tcW w:w="1800" w:type="dxa"/>
            <w:vAlign w:val="center"/>
          </w:tcPr>
          <w:p w14:paraId="12501F77" w14:textId="77777777" w:rsidR="00817793" w:rsidRDefault="002719FC">
            <w:pPr>
              <w:spacing w:before="60" w:after="60"/>
              <w:jc w:val="center"/>
            </w:pPr>
            <w:r>
              <w:t>R$ 146.585.198</w:t>
            </w:r>
          </w:p>
        </w:tc>
        <w:tc>
          <w:tcPr>
            <w:tcW w:w="2100" w:type="dxa"/>
          </w:tcPr>
          <w:p w14:paraId="1C6967D9" w14:textId="77777777" w:rsidR="00817793" w:rsidRDefault="002719FC">
            <w:pPr>
              <w:spacing w:before="60" w:after="60"/>
              <w:jc w:val="center"/>
            </w:pPr>
            <w:r>
              <w:t>R$ 174.635.776</w:t>
            </w:r>
          </w:p>
        </w:tc>
        <w:tc>
          <w:tcPr>
            <w:tcW w:w="1935" w:type="dxa"/>
          </w:tcPr>
          <w:p w14:paraId="4048DC5B" w14:textId="77777777" w:rsidR="00817793" w:rsidRDefault="002719FC">
            <w:pPr>
              <w:spacing w:before="60" w:after="60"/>
              <w:jc w:val="center"/>
            </w:pPr>
            <w:r>
              <w:t>R$ 129.625.762</w:t>
            </w:r>
          </w:p>
        </w:tc>
      </w:tr>
      <w:tr w:rsidR="00817793" w14:paraId="639925A9" w14:textId="77777777">
        <w:tc>
          <w:tcPr>
            <w:tcW w:w="1245" w:type="dxa"/>
          </w:tcPr>
          <w:p w14:paraId="7949D785" w14:textId="77777777" w:rsidR="00817793" w:rsidRDefault="002719FC">
            <w:pPr>
              <w:spacing w:before="60" w:after="60"/>
              <w:jc w:val="center"/>
            </w:pPr>
            <w:r>
              <w:t>2028</w:t>
            </w:r>
          </w:p>
        </w:tc>
        <w:tc>
          <w:tcPr>
            <w:tcW w:w="2115" w:type="dxa"/>
          </w:tcPr>
          <w:p w14:paraId="78349D61" w14:textId="77777777" w:rsidR="00817793" w:rsidRDefault="002719FC">
            <w:pPr>
              <w:spacing w:before="60" w:after="60"/>
              <w:jc w:val="center"/>
            </w:pPr>
            <w:r>
              <w:t>R$ 141.951.693</w:t>
            </w:r>
          </w:p>
        </w:tc>
        <w:tc>
          <w:tcPr>
            <w:tcW w:w="1800" w:type="dxa"/>
            <w:vAlign w:val="center"/>
          </w:tcPr>
          <w:p w14:paraId="3071FB0E" w14:textId="77777777" w:rsidR="00817793" w:rsidRDefault="002719FC">
            <w:pPr>
              <w:spacing w:before="60" w:after="60"/>
              <w:jc w:val="center"/>
            </w:pPr>
            <w:r>
              <w:t>R$ 188.970.610</w:t>
            </w:r>
          </w:p>
        </w:tc>
        <w:tc>
          <w:tcPr>
            <w:tcW w:w="2100" w:type="dxa"/>
          </w:tcPr>
          <w:p w14:paraId="4EA3EE48" w14:textId="77777777" w:rsidR="00817793" w:rsidRDefault="002719FC">
            <w:pPr>
              <w:spacing w:before="60" w:after="60"/>
              <w:jc w:val="center"/>
            </w:pPr>
            <w:r>
              <w:t>R$ 223.731.740</w:t>
            </w:r>
          </w:p>
        </w:tc>
        <w:tc>
          <w:tcPr>
            <w:tcW w:w="1935" w:type="dxa"/>
          </w:tcPr>
          <w:p w14:paraId="36A8C942" w14:textId="77777777" w:rsidR="00817793" w:rsidRDefault="002719FC">
            <w:pPr>
              <w:spacing w:before="60" w:after="60"/>
              <w:jc w:val="center"/>
            </w:pPr>
            <w:r>
              <w:t>R$ 168.525.598</w:t>
            </w:r>
          </w:p>
        </w:tc>
      </w:tr>
      <w:tr w:rsidR="00817793" w14:paraId="2040F7A4" w14:textId="77777777">
        <w:tc>
          <w:tcPr>
            <w:tcW w:w="1245" w:type="dxa"/>
          </w:tcPr>
          <w:p w14:paraId="102DCF69" w14:textId="77777777" w:rsidR="00817793" w:rsidRDefault="002719FC">
            <w:pPr>
              <w:spacing w:before="60" w:after="60"/>
              <w:jc w:val="center"/>
            </w:pPr>
            <w:r>
              <w:t>2029</w:t>
            </w:r>
          </w:p>
        </w:tc>
        <w:tc>
          <w:tcPr>
            <w:tcW w:w="2115" w:type="dxa"/>
          </w:tcPr>
          <w:p w14:paraId="31341FFC" w14:textId="77777777" w:rsidR="00817793" w:rsidRDefault="002719FC">
            <w:pPr>
              <w:spacing w:before="60" w:after="60"/>
              <w:jc w:val="center"/>
            </w:pPr>
            <w:r>
              <w:t>R$ 177.714.426</w:t>
            </w:r>
          </w:p>
        </w:tc>
        <w:tc>
          <w:tcPr>
            <w:tcW w:w="1800" w:type="dxa"/>
            <w:vAlign w:val="center"/>
          </w:tcPr>
          <w:p w14:paraId="6278ABEB" w14:textId="77777777" w:rsidR="00817793" w:rsidRDefault="002719FC">
            <w:pPr>
              <w:spacing w:before="60" w:after="60"/>
              <w:jc w:val="center"/>
            </w:pPr>
            <w:r>
              <w:t>R$ 231.662.285</w:t>
            </w:r>
          </w:p>
        </w:tc>
        <w:tc>
          <w:tcPr>
            <w:tcW w:w="2100" w:type="dxa"/>
          </w:tcPr>
          <w:p w14:paraId="64F8115F" w14:textId="77777777" w:rsidR="00817793" w:rsidRDefault="002719FC">
            <w:pPr>
              <w:spacing w:before="60" w:after="60"/>
              <w:jc w:val="center"/>
            </w:pPr>
            <w:r>
              <w:t>R$ 273.065.695</w:t>
            </w:r>
          </w:p>
        </w:tc>
        <w:tc>
          <w:tcPr>
            <w:tcW w:w="1935" w:type="dxa"/>
          </w:tcPr>
          <w:p w14:paraId="0900C0E8" w14:textId="77777777" w:rsidR="00817793" w:rsidRDefault="002719FC">
            <w:pPr>
              <w:spacing w:before="60" w:after="60"/>
              <w:jc w:val="center"/>
            </w:pPr>
            <w:r>
              <w:t>R$ 207.824.467</w:t>
            </w:r>
          </w:p>
        </w:tc>
      </w:tr>
      <w:tr w:rsidR="00817793" w14:paraId="53CFF4BF" w14:textId="77777777">
        <w:tc>
          <w:tcPr>
            <w:tcW w:w="1245" w:type="dxa"/>
            <w:vAlign w:val="center"/>
          </w:tcPr>
          <w:p w14:paraId="4B4370B4" w14:textId="77777777" w:rsidR="00817793" w:rsidRDefault="002719FC">
            <w:pPr>
              <w:spacing w:before="60" w:after="60"/>
              <w:jc w:val="center"/>
              <w:rPr>
                <w:b/>
              </w:rPr>
            </w:pPr>
            <w:r>
              <w:rPr>
                <w:b/>
              </w:rPr>
              <w:t>Total</w:t>
            </w:r>
          </w:p>
        </w:tc>
        <w:tc>
          <w:tcPr>
            <w:tcW w:w="2115" w:type="dxa"/>
          </w:tcPr>
          <w:p w14:paraId="1DF989A1" w14:textId="77777777" w:rsidR="00817793" w:rsidRDefault="002719FC">
            <w:pPr>
              <w:spacing w:before="60" w:after="60"/>
              <w:jc w:val="center"/>
              <w:rPr>
                <w:b/>
              </w:rPr>
            </w:pPr>
            <w:r>
              <w:rPr>
                <w:b/>
              </w:rPr>
              <w:t>R$ 538.023.978</w:t>
            </w:r>
          </w:p>
        </w:tc>
        <w:tc>
          <w:tcPr>
            <w:tcW w:w="1800" w:type="dxa"/>
            <w:vAlign w:val="center"/>
          </w:tcPr>
          <w:p w14:paraId="2D040A3E" w14:textId="77777777" w:rsidR="00817793" w:rsidRDefault="002719FC">
            <w:pPr>
              <w:spacing w:before="60" w:after="60"/>
              <w:jc w:val="center"/>
              <w:rPr>
                <w:b/>
              </w:rPr>
            </w:pPr>
            <w:r>
              <w:rPr>
                <w:b/>
              </w:rPr>
              <w:t>R$ 735.631.102</w:t>
            </w:r>
          </w:p>
        </w:tc>
        <w:tc>
          <w:tcPr>
            <w:tcW w:w="2100" w:type="dxa"/>
          </w:tcPr>
          <w:p w14:paraId="3BF57E89" w14:textId="77777777" w:rsidR="00817793" w:rsidRDefault="002719FC">
            <w:pPr>
              <w:spacing w:before="60" w:after="60"/>
              <w:jc w:val="center"/>
              <w:rPr>
                <w:b/>
              </w:rPr>
            </w:pPr>
            <w:r>
              <w:rPr>
                <w:b/>
              </w:rPr>
              <w:t>R$ 875.921.387</w:t>
            </w:r>
          </w:p>
        </w:tc>
        <w:tc>
          <w:tcPr>
            <w:tcW w:w="1935" w:type="dxa"/>
          </w:tcPr>
          <w:p w14:paraId="4BC39E42" w14:textId="77777777" w:rsidR="00817793" w:rsidRDefault="002719FC">
            <w:pPr>
              <w:spacing w:before="60" w:after="60"/>
              <w:jc w:val="center"/>
              <w:rPr>
                <w:b/>
              </w:rPr>
            </w:pPr>
            <w:r>
              <w:rPr>
                <w:b/>
              </w:rPr>
              <w:t>R$ 651.156.749</w:t>
            </w:r>
          </w:p>
        </w:tc>
      </w:tr>
      <w:tr w:rsidR="00817793" w14:paraId="5B07EFE1" w14:textId="77777777">
        <w:trPr>
          <w:trHeight w:val="220"/>
        </w:trPr>
        <w:tc>
          <w:tcPr>
            <w:tcW w:w="9195" w:type="dxa"/>
            <w:gridSpan w:val="5"/>
            <w:shd w:val="clear" w:color="auto" w:fill="D9E2F3"/>
            <w:vAlign w:val="center"/>
          </w:tcPr>
          <w:p w14:paraId="6E370AB5" w14:textId="77777777" w:rsidR="00817793" w:rsidRDefault="002719FC">
            <w:pPr>
              <w:spacing w:before="60" w:after="60"/>
              <w:jc w:val="center"/>
              <w:rPr>
                <w:b/>
                <w:highlight w:val="yellow"/>
              </w:rPr>
            </w:pPr>
            <w:r>
              <w:rPr>
                <w:b/>
              </w:rPr>
              <w:t>Parecerista</w:t>
            </w:r>
          </w:p>
        </w:tc>
      </w:tr>
      <w:tr w:rsidR="00817793" w14:paraId="690371E2" w14:textId="77777777">
        <w:tc>
          <w:tcPr>
            <w:tcW w:w="1245" w:type="dxa"/>
            <w:shd w:val="clear" w:color="auto" w:fill="D9E2F3"/>
            <w:vAlign w:val="center"/>
          </w:tcPr>
          <w:p w14:paraId="59180050" w14:textId="77777777" w:rsidR="00817793" w:rsidRDefault="002719FC">
            <w:pPr>
              <w:spacing w:before="60" w:after="60"/>
              <w:jc w:val="center"/>
              <w:rPr>
                <w:b/>
              </w:rPr>
            </w:pPr>
            <w:r>
              <w:rPr>
                <w:b/>
              </w:rPr>
              <w:t>Período</w:t>
            </w:r>
          </w:p>
        </w:tc>
        <w:tc>
          <w:tcPr>
            <w:tcW w:w="2115" w:type="dxa"/>
            <w:shd w:val="clear" w:color="auto" w:fill="D9E2F3"/>
            <w:vAlign w:val="center"/>
          </w:tcPr>
          <w:p w14:paraId="4CACEDEA" w14:textId="77777777" w:rsidR="00817793" w:rsidRDefault="002719FC">
            <w:pPr>
              <w:spacing w:before="60" w:after="60"/>
              <w:jc w:val="center"/>
              <w:rPr>
                <w:b/>
              </w:rPr>
            </w:pPr>
            <w:r>
              <w:rPr>
                <w:b/>
              </w:rPr>
              <w:t>Cenário de Referência</w:t>
            </w:r>
          </w:p>
        </w:tc>
        <w:tc>
          <w:tcPr>
            <w:tcW w:w="1800" w:type="dxa"/>
            <w:tcBorders>
              <w:bottom w:val="single" w:sz="4" w:space="0" w:color="D9E2F3"/>
            </w:tcBorders>
            <w:shd w:val="clear" w:color="auto" w:fill="D9E2F3"/>
            <w:vAlign w:val="center"/>
          </w:tcPr>
          <w:p w14:paraId="0776903A" w14:textId="77777777" w:rsidR="00817793" w:rsidRDefault="002719FC">
            <w:pPr>
              <w:spacing w:before="60" w:after="60"/>
              <w:jc w:val="center"/>
              <w:rPr>
                <w:b/>
              </w:rPr>
            </w:pPr>
            <w:r>
              <w:rPr>
                <w:b/>
              </w:rPr>
              <w:t>Cenário base</w:t>
            </w:r>
          </w:p>
        </w:tc>
        <w:tc>
          <w:tcPr>
            <w:tcW w:w="2100" w:type="dxa"/>
            <w:tcBorders>
              <w:bottom w:val="single" w:sz="4" w:space="0" w:color="D9E2F3"/>
            </w:tcBorders>
            <w:shd w:val="clear" w:color="auto" w:fill="D9E2F3"/>
            <w:vAlign w:val="center"/>
          </w:tcPr>
          <w:p w14:paraId="6F78E48E" w14:textId="77777777" w:rsidR="00817793" w:rsidRDefault="002719FC">
            <w:pPr>
              <w:spacing w:before="60" w:after="60"/>
              <w:jc w:val="center"/>
              <w:rPr>
                <w:b/>
              </w:rPr>
            </w:pPr>
            <w:r>
              <w:rPr>
                <w:b/>
              </w:rPr>
              <w:t>Cenário incorporação rápida</w:t>
            </w:r>
          </w:p>
        </w:tc>
        <w:tc>
          <w:tcPr>
            <w:tcW w:w="1935" w:type="dxa"/>
            <w:tcBorders>
              <w:bottom w:val="single" w:sz="4" w:space="0" w:color="D9E2F3"/>
            </w:tcBorders>
            <w:shd w:val="clear" w:color="auto" w:fill="D9E2F3"/>
            <w:vAlign w:val="center"/>
          </w:tcPr>
          <w:p w14:paraId="517CD158" w14:textId="77777777" w:rsidR="00817793" w:rsidRDefault="002719FC">
            <w:pPr>
              <w:spacing w:before="60" w:after="60"/>
              <w:jc w:val="center"/>
              <w:rPr>
                <w:b/>
              </w:rPr>
            </w:pPr>
            <w:r>
              <w:rPr>
                <w:b/>
              </w:rPr>
              <w:t>Cenário incorporação lenta</w:t>
            </w:r>
          </w:p>
        </w:tc>
      </w:tr>
      <w:tr w:rsidR="00817793" w14:paraId="28D9AFE3" w14:textId="77777777">
        <w:tc>
          <w:tcPr>
            <w:tcW w:w="1245" w:type="dxa"/>
          </w:tcPr>
          <w:p w14:paraId="49F96DD5" w14:textId="77777777" w:rsidR="00817793" w:rsidRDefault="002719FC">
            <w:pPr>
              <w:spacing w:before="60" w:after="60"/>
              <w:jc w:val="center"/>
            </w:pPr>
            <w:r>
              <w:t>2025</w:t>
            </w:r>
          </w:p>
        </w:tc>
        <w:tc>
          <w:tcPr>
            <w:tcW w:w="2115" w:type="dxa"/>
            <w:tcBorders>
              <w:right w:val="single" w:sz="4" w:space="0" w:color="D9E2F3"/>
            </w:tcBorders>
          </w:tcPr>
          <w:p w14:paraId="7EFB3910" w14:textId="77777777" w:rsidR="00817793" w:rsidRDefault="002719FC">
            <w:pPr>
              <w:spacing w:before="60" w:after="60"/>
              <w:jc w:val="center"/>
            </w:pPr>
            <w:r>
              <w:t xml:space="preserve">R$ 25.115.502,19 </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577E03E" w14:textId="77777777" w:rsidR="00817793" w:rsidRDefault="002719FC">
            <w:pPr>
              <w:spacing w:before="60" w:after="60"/>
              <w:jc w:val="center"/>
            </w:pPr>
            <w:r>
              <w:t>R$ 39.814.745,87</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E6BE3FA" w14:textId="77777777" w:rsidR="00817793" w:rsidRDefault="002719FC">
            <w:pPr>
              <w:spacing w:before="60" w:after="60"/>
              <w:jc w:val="center"/>
            </w:pPr>
            <w:r>
              <w:t>R$ 48.634.292,08</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7C19BE0C" w14:textId="77777777" w:rsidR="00817793" w:rsidRDefault="002719FC">
            <w:pPr>
              <w:spacing w:before="60" w:after="60"/>
              <w:jc w:val="center"/>
            </w:pPr>
            <w:r>
              <w:t>R$ 33.935.048,40</w:t>
            </w:r>
          </w:p>
        </w:tc>
      </w:tr>
      <w:tr w:rsidR="00817793" w14:paraId="7B7A31B2" w14:textId="77777777">
        <w:tc>
          <w:tcPr>
            <w:tcW w:w="1245" w:type="dxa"/>
          </w:tcPr>
          <w:p w14:paraId="627BB9B2" w14:textId="77777777" w:rsidR="00817793" w:rsidRDefault="002719FC">
            <w:pPr>
              <w:spacing w:before="60" w:after="60"/>
              <w:jc w:val="center"/>
            </w:pPr>
            <w:r>
              <w:t>2026</w:t>
            </w:r>
          </w:p>
        </w:tc>
        <w:tc>
          <w:tcPr>
            <w:tcW w:w="2115" w:type="dxa"/>
            <w:tcBorders>
              <w:right w:val="single" w:sz="4" w:space="0" w:color="D9E2F3"/>
            </w:tcBorders>
          </w:tcPr>
          <w:p w14:paraId="59985612" w14:textId="77777777" w:rsidR="00817793" w:rsidRDefault="002719FC">
            <w:pPr>
              <w:spacing w:before="60" w:after="60"/>
              <w:jc w:val="center"/>
            </w:pPr>
            <w:r>
              <w:t xml:space="preserve">  R$ 25.339.765,14 </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16560505" w14:textId="77777777" w:rsidR="00817793" w:rsidRDefault="002719FC">
            <w:pPr>
              <w:spacing w:before="60" w:after="60"/>
              <w:jc w:val="center"/>
            </w:pPr>
            <w:r>
              <w:t>R$ 46.004.798,37</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D738E1A" w14:textId="77777777" w:rsidR="00817793" w:rsidRDefault="002719FC">
            <w:pPr>
              <w:spacing w:before="60" w:after="60"/>
              <w:jc w:val="center"/>
            </w:pPr>
            <w:r>
              <w:t>R$ 59.590.258,08</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3F9494E" w14:textId="77777777" w:rsidR="00817793" w:rsidRDefault="002719FC">
            <w:pPr>
              <w:spacing w:before="60" w:after="60"/>
              <w:jc w:val="center"/>
            </w:pPr>
            <w:r>
              <w:t>R$ 37.442.175,14</w:t>
            </w:r>
          </w:p>
        </w:tc>
      </w:tr>
      <w:tr w:rsidR="00817793" w14:paraId="37B34D79" w14:textId="77777777">
        <w:tc>
          <w:tcPr>
            <w:tcW w:w="1245" w:type="dxa"/>
          </w:tcPr>
          <w:p w14:paraId="32EF8118" w14:textId="77777777" w:rsidR="00817793" w:rsidRDefault="002719FC">
            <w:pPr>
              <w:spacing w:before="60" w:after="60"/>
              <w:jc w:val="center"/>
            </w:pPr>
            <w:r>
              <w:t>2027</w:t>
            </w:r>
          </w:p>
        </w:tc>
        <w:tc>
          <w:tcPr>
            <w:tcW w:w="2115" w:type="dxa"/>
            <w:tcBorders>
              <w:right w:val="single" w:sz="4" w:space="0" w:color="D9E2F3"/>
            </w:tcBorders>
          </w:tcPr>
          <w:p w14:paraId="21443B2C" w14:textId="77777777" w:rsidR="00817793" w:rsidRDefault="002719FC">
            <w:pPr>
              <w:spacing w:before="60" w:after="60"/>
              <w:jc w:val="center"/>
            </w:pPr>
            <w:r>
              <w:t xml:space="preserve">  R$ 25.553.245,40 </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50AB4D1C" w14:textId="77777777" w:rsidR="00817793" w:rsidRDefault="002719FC">
            <w:pPr>
              <w:spacing w:before="60" w:after="60"/>
              <w:jc w:val="center"/>
            </w:pPr>
            <w:r>
              <w:t>R$ 51.676.220,33</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1C73D567" w14:textId="77777777" w:rsidR="00817793" w:rsidRDefault="002719FC">
            <w:pPr>
              <w:spacing w:before="60" w:after="60"/>
              <w:jc w:val="center"/>
            </w:pPr>
            <w:r>
              <w:t>R$ 69.974.399,63</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7920ADF" w14:textId="77777777" w:rsidR="00817793" w:rsidRDefault="002719FC">
            <w:pPr>
              <w:spacing w:before="60" w:after="60"/>
              <w:jc w:val="center"/>
            </w:pPr>
            <w:r>
              <w:t>R$ 40.570.931,77</w:t>
            </w:r>
          </w:p>
        </w:tc>
      </w:tr>
      <w:tr w:rsidR="00817793" w14:paraId="1BE00E34" w14:textId="77777777">
        <w:tc>
          <w:tcPr>
            <w:tcW w:w="1245" w:type="dxa"/>
          </w:tcPr>
          <w:p w14:paraId="7AE6F882" w14:textId="77777777" w:rsidR="00817793" w:rsidRDefault="002719FC">
            <w:pPr>
              <w:spacing w:before="60" w:after="60"/>
              <w:jc w:val="center"/>
            </w:pPr>
            <w:r>
              <w:t>2028</w:t>
            </w:r>
          </w:p>
        </w:tc>
        <w:tc>
          <w:tcPr>
            <w:tcW w:w="2115" w:type="dxa"/>
            <w:tcBorders>
              <w:right w:val="single" w:sz="4" w:space="0" w:color="D9E2F3"/>
            </w:tcBorders>
          </w:tcPr>
          <w:p w14:paraId="6789E8A5" w14:textId="77777777" w:rsidR="00817793" w:rsidRDefault="002719FC">
            <w:pPr>
              <w:spacing w:before="60" w:after="60"/>
              <w:jc w:val="center"/>
            </w:pPr>
            <w:r>
              <w:t xml:space="preserve">   R$ 25.753.367,69 </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78EDBC25" w14:textId="77777777" w:rsidR="00817793" w:rsidRDefault="002719FC">
            <w:pPr>
              <w:spacing w:before="60" w:after="60"/>
              <w:jc w:val="center"/>
            </w:pPr>
            <w:r>
              <w:t>R$ 57.184.560,95</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19828269" w14:textId="77777777" w:rsidR="00817793" w:rsidRDefault="002719FC">
            <w:pPr>
              <w:spacing w:before="60" w:after="60"/>
              <w:jc w:val="center"/>
            </w:pPr>
            <w:r>
              <w:t>R$ 80.265.864,67</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7DB212B0" w14:textId="77777777" w:rsidR="00817793" w:rsidRDefault="002719FC">
            <w:pPr>
              <w:spacing w:before="60" w:after="60"/>
              <w:jc w:val="center"/>
            </w:pPr>
            <w:r>
              <w:t>R$ 43.556.436,71</w:t>
            </w:r>
          </w:p>
        </w:tc>
      </w:tr>
      <w:tr w:rsidR="00817793" w14:paraId="31D787F6" w14:textId="77777777">
        <w:tc>
          <w:tcPr>
            <w:tcW w:w="1245" w:type="dxa"/>
          </w:tcPr>
          <w:p w14:paraId="5063FE72" w14:textId="77777777" w:rsidR="00817793" w:rsidRDefault="002719FC">
            <w:pPr>
              <w:spacing w:before="60" w:after="60"/>
              <w:jc w:val="center"/>
            </w:pPr>
            <w:r>
              <w:t>2029</w:t>
            </w:r>
          </w:p>
        </w:tc>
        <w:tc>
          <w:tcPr>
            <w:tcW w:w="2115" w:type="dxa"/>
            <w:tcBorders>
              <w:right w:val="single" w:sz="4" w:space="0" w:color="D9E2F3"/>
            </w:tcBorders>
          </w:tcPr>
          <w:p w14:paraId="3B1A4EB1" w14:textId="77777777" w:rsidR="00817793" w:rsidRDefault="002719FC">
            <w:pPr>
              <w:spacing w:before="60" w:after="60"/>
              <w:jc w:val="center"/>
            </w:pPr>
            <w:r>
              <w:t xml:space="preserve">  R$ 25.945.611,49 </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11056312" w14:textId="77777777" w:rsidR="00817793" w:rsidRDefault="002719FC">
            <w:pPr>
              <w:spacing w:before="60" w:after="60"/>
              <w:jc w:val="center"/>
            </w:pPr>
            <w:r>
              <w:t>R$ 62.465.795,64</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65F0F7C9" w14:textId="77777777" w:rsidR="00817793" w:rsidRDefault="002719FC">
            <w:pPr>
              <w:spacing w:before="60" w:after="60"/>
              <w:jc w:val="center"/>
            </w:pPr>
            <w:r>
              <w:t>R$ 90.315.116,32</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40ABE904" w14:textId="77777777" w:rsidR="00817793" w:rsidRDefault="002719FC">
            <w:pPr>
              <w:spacing w:before="60" w:after="60"/>
              <w:jc w:val="center"/>
            </w:pPr>
            <w:r>
              <w:t>R$ 46.373.419,43</w:t>
            </w:r>
          </w:p>
        </w:tc>
      </w:tr>
      <w:tr w:rsidR="00817793" w14:paraId="53FAD6CE" w14:textId="77777777">
        <w:tc>
          <w:tcPr>
            <w:tcW w:w="1245" w:type="dxa"/>
            <w:vAlign w:val="center"/>
          </w:tcPr>
          <w:p w14:paraId="2B9D4B37" w14:textId="77777777" w:rsidR="00817793" w:rsidRDefault="002719FC">
            <w:pPr>
              <w:spacing w:before="60" w:after="60"/>
              <w:jc w:val="center"/>
              <w:rPr>
                <w:b/>
              </w:rPr>
            </w:pPr>
            <w:r>
              <w:rPr>
                <w:b/>
              </w:rPr>
              <w:t>Total</w:t>
            </w:r>
          </w:p>
        </w:tc>
        <w:tc>
          <w:tcPr>
            <w:tcW w:w="2115" w:type="dxa"/>
            <w:tcBorders>
              <w:right w:val="single" w:sz="4" w:space="0" w:color="D9E2F3"/>
            </w:tcBorders>
          </w:tcPr>
          <w:p w14:paraId="6865DBCD" w14:textId="77777777" w:rsidR="00817793" w:rsidRDefault="002719FC">
            <w:pPr>
              <w:spacing w:before="60" w:after="60"/>
              <w:jc w:val="center"/>
              <w:rPr>
                <w:b/>
              </w:rPr>
            </w:pPr>
            <w:r>
              <w:rPr>
                <w:b/>
              </w:rPr>
              <w:t xml:space="preserve">  R$ 127.707.491,90</w:t>
            </w:r>
          </w:p>
        </w:tc>
        <w:tc>
          <w:tcPr>
            <w:tcW w:w="18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524694FE" w14:textId="77777777" w:rsidR="00817793" w:rsidRDefault="002719FC">
            <w:pPr>
              <w:spacing w:before="60" w:after="60"/>
              <w:jc w:val="center"/>
              <w:rPr>
                <w:b/>
              </w:rPr>
            </w:pPr>
            <w:r>
              <w:rPr>
                <w:b/>
              </w:rPr>
              <w:t>R$ 257.146.121,16</w:t>
            </w:r>
          </w:p>
        </w:tc>
        <w:tc>
          <w:tcPr>
            <w:tcW w:w="2100"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267DF252" w14:textId="77777777" w:rsidR="00817793" w:rsidRDefault="002719FC">
            <w:pPr>
              <w:spacing w:before="60" w:after="60"/>
              <w:jc w:val="center"/>
              <w:rPr>
                <w:b/>
              </w:rPr>
            </w:pPr>
            <w:r>
              <w:rPr>
                <w:b/>
              </w:rPr>
              <w:t>R$ 348.779.930,78</w:t>
            </w:r>
          </w:p>
        </w:tc>
        <w:tc>
          <w:tcPr>
            <w:tcW w:w="1935" w:type="dxa"/>
            <w:tcBorders>
              <w:top w:val="single" w:sz="4" w:space="0" w:color="D9E2F3"/>
              <w:left w:val="single" w:sz="4" w:space="0" w:color="D9E2F3"/>
              <w:bottom w:val="single" w:sz="4" w:space="0" w:color="D9E2F3"/>
              <w:right w:val="single" w:sz="4" w:space="0" w:color="D9E2F3"/>
            </w:tcBorders>
            <w:tcMar>
              <w:left w:w="40" w:type="dxa"/>
              <w:right w:w="40" w:type="dxa"/>
            </w:tcMar>
            <w:vAlign w:val="bottom"/>
          </w:tcPr>
          <w:p w14:paraId="167DD6EF" w14:textId="77777777" w:rsidR="00817793" w:rsidRDefault="002719FC">
            <w:pPr>
              <w:spacing w:before="60" w:after="60"/>
              <w:jc w:val="center"/>
              <w:rPr>
                <w:b/>
              </w:rPr>
            </w:pPr>
            <w:r>
              <w:rPr>
                <w:b/>
              </w:rPr>
              <w:t>R$ 201.878.011,44</w:t>
            </w:r>
          </w:p>
        </w:tc>
      </w:tr>
    </w:tbl>
    <w:p w14:paraId="041D98D7" w14:textId="77777777" w:rsidR="00817793" w:rsidRDefault="00817793">
      <w:pPr>
        <w:pStyle w:val="Ttulo4"/>
        <w:rPr>
          <w:b/>
        </w:rPr>
      </w:pPr>
    </w:p>
    <w:p w14:paraId="56EA91E9" w14:textId="77777777" w:rsidR="00817793" w:rsidRDefault="002719FC">
      <w:pPr>
        <w:pStyle w:val="Ttulo4"/>
      </w:pPr>
      <w:r>
        <w:rPr>
          <w:b/>
        </w:rPr>
        <w:t>Quadro 32.</w:t>
      </w:r>
      <w:r>
        <w:t xml:space="preserve"> Impacto orçamentário total (versão do PROPONENTE e do PARECERISTA) </w:t>
      </w:r>
    </w:p>
    <w:tbl>
      <w:tblPr>
        <w:tblStyle w:val="afff7"/>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69B4FA1" w14:textId="77777777">
        <w:trPr>
          <w:trHeight w:val="416"/>
        </w:trPr>
        <w:tc>
          <w:tcPr>
            <w:tcW w:w="9072" w:type="dxa"/>
            <w:shd w:val="clear" w:color="auto" w:fill="D9E2F3"/>
          </w:tcPr>
          <w:p w14:paraId="75F50951" w14:textId="77777777" w:rsidR="00817793" w:rsidRDefault="002719FC">
            <w:pPr>
              <w:spacing w:before="120" w:after="120" w:line="240" w:lineRule="auto"/>
              <w:jc w:val="center"/>
              <w:rPr>
                <w:b/>
              </w:rPr>
            </w:pPr>
            <w:r>
              <w:rPr>
                <w:b/>
              </w:rPr>
              <w:t xml:space="preserve">Comentários sobre o impacto orçamentário total </w:t>
            </w:r>
          </w:p>
        </w:tc>
      </w:tr>
      <w:tr w:rsidR="00817793" w14:paraId="44ACC9DC" w14:textId="77777777">
        <w:trPr>
          <w:trHeight w:val="750"/>
        </w:trPr>
        <w:tc>
          <w:tcPr>
            <w:tcW w:w="9072" w:type="dxa"/>
          </w:tcPr>
          <w:p w14:paraId="35A4FDA3" w14:textId="77777777" w:rsidR="00817793" w:rsidRDefault="002719FC">
            <w:pPr>
              <w:spacing w:before="120" w:after="120" w:line="240" w:lineRule="auto"/>
              <w:rPr>
                <w:highlight w:val="white"/>
              </w:rPr>
            </w:pPr>
            <w:r>
              <w:rPr>
                <w:highlight w:val="white"/>
              </w:rPr>
              <w:t>Considerando uma progressão de mercado de 25-45%, o impacto orçamentário total em 5 anos calculado pelo PROPONENTE foi de R$</w:t>
            </w:r>
            <w:r>
              <w:t>735.631.102</w:t>
            </w:r>
            <w:r>
              <w:rPr>
                <w:highlight w:val="white"/>
              </w:rPr>
              <w:t xml:space="preserve"> com incorporação do </w:t>
            </w:r>
            <w:proofErr w:type="spellStart"/>
            <w:r>
              <w:rPr>
                <w:highlight w:val="white"/>
              </w:rPr>
              <w:t>anifrolumabe</w:t>
            </w:r>
            <w:proofErr w:type="spellEnd"/>
            <w:r>
              <w:rPr>
                <w:highlight w:val="white"/>
              </w:rPr>
              <w:t xml:space="preserve"> e de R$</w:t>
            </w:r>
            <w:r>
              <w:t>257.146.121,16</w:t>
            </w:r>
            <w:r>
              <w:rPr>
                <w:highlight w:val="white"/>
              </w:rPr>
              <w:t xml:space="preserve"> pelo PARECERISTA. Esta diferença se deu pela diminuição da população elegível calculada pelo parecerista.</w:t>
            </w:r>
          </w:p>
          <w:p w14:paraId="532A8F67" w14:textId="77777777" w:rsidR="00817793" w:rsidRDefault="002719FC">
            <w:pPr>
              <w:spacing w:before="120" w:after="120" w:line="240" w:lineRule="auto"/>
              <w:rPr>
                <w:i/>
                <w:color w:val="FF0000"/>
              </w:rPr>
            </w:pPr>
            <w:r>
              <w:rPr>
                <w:highlight w:val="white"/>
              </w:rPr>
              <w:t>Caso o cenário fosse de progressão de mercado de 40-80%, o impacto orçamentário total em 5 anos calculado pelo PARECERISTA seria de R$</w:t>
            </w:r>
            <w:r>
              <w:t>348.779.930,78.</w:t>
            </w:r>
          </w:p>
        </w:tc>
      </w:tr>
    </w:tbl>
    <w:p w14:paraId="5AB7C0C5" w14:textId="77777777" w:rsidR="00817793" w:rsidRDefault="00817793">
      <w:pPr>
        <w:rPr>
          <w:highlight w:val="yellow"/>
        </w:rPr>
      </w:pPr>
    </w:p>
    <w:p w14:paraId="7BABF84A" w14:textId="77777777" w:rsidR="00817793" w:rsidRDefault="002719FC">
      <w:pPr>
        <w:pStyle w:val="Ttulo4"/>
      </w:pPr>
      <w:bookmarkStart w:id="73" w:name="_9uj32p3du570" w:colFirst="0" w:colLast="0"/>
      <w:bookmarkEnd w:id="73"/>
      <w:r>
        <w:rPr>
          <w:b/>
        </w:rPr>
        <w:t>Quadro 33.</w:t>
      </w:r>
      <w:r>
        <w:t xml:space="preserve"> Impacto orçamentário incremental (versão do PROPONENTE e do PARECERISTA)</w:t>
      </w:r>
    </w:p>
    <w:tbl>
      <w:tblPr>
        <w:tblStyle w:val="afff8"/>
        <w:tblW w:w="9069"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85"/>
        <w:gridCol w:w="2528"/>
        <w:gridCol w:w="2528"/>
        <w:gridCol w:w="2528"/>
      </w:tblGrid>
      <w:tr w:rsidR="00817793" w14:paraId="49CA70C5" w14:textId="77777777">
        <w:trPr>
          <w:trHeight w:val="220"/>
          <w:jc w:val="center"/>
        </w:trPr>
        <w:tc>
          <w:tcPr>
            <w:tcW w:w="9066" w:type="dxa"/>
            <w:gridSpan w:val="4"/>
            <w:shd w:val="clear" w:color="auto" w:fill="D9E2F3"/>
            <w:vAlign w:val="center"/>
          </w:tcPr>
          <w:p w14:paraId="7433D8AE" w14:textId="77777777" w:rsidR="00817793" w:rsidRDefault="002719FC">
            <w:pPr>
              <w:spacing w:before="120" w:after="120"/>
              <w:jc w:val="center"/>
              <w:rPr>
                <w:b/>
              </w:rPr>
            </w:pPr>
            <w:r>
              <w:rPr>
                <w:b/>
              </w:rPr>
              <w:t>Proponente</w:t>
            </w:r>
          </w:p>
        </w:tc>
      </w:tr>
      <w:tr w:rsidR="00817793" w14:paraId="1044809A" w14:textId="77777777">
        <w:trPr>
          <w:jc w:val="center"/>
        </w:trPr>
        <w:tc>
          <w:tcPr>
            <w:tcW w:w="1485" w:type="dxa"/>
            <w:shd w:val="clear" w:color="auto" w:fill="D9E2F3"/>
            <w:vAlign w:val="center"/>
          </w:tcPr>
          <w:p w14:paraId="775507D4" w14:textId="77777777" w:rsidR="00817793" w:rsidRDefault="002719FC">
            <w:pPr>
              <w:spacing w:before="120" w:after="120"/>
              <w:jc w:val="center"/>
              <w:rPr>
                <w:b/>
              </w:rPr>
            </w:pPr>
            <w:r>
              <w:rPr>
                <w:b/>
              </w:rPr>
              <w:t>Período</w:t>
            </w:r>
          </w:p>
        </w:tc>
        <w:tc>
          <w:tcPr>
            <w:tcW w:w="2527" w:type="dxa"/>
            <w:shd w:val="clear" w:color="auto" w:fill="D9E2F3"/>
          </w:tcPr>
          <w:p w14:paraId="0BC98D6F" w14:textId="77777777" w:rsidR="00817793" w:rsidRDefault="002719FC">
            <w:pPr>
              <w:spacing w:before="120" w:after="120"/>
              <w:jc w:val="center"/>
              <w:rPr>
                <w:b/>
              </w:rPr>
            </w:pPr>
            <w:r>
              <w:rPr>
                <w:b/>
              </w:rPr>
              <w:t>Cenário 1 - Referência</w:t>
            </w:r>
          </w:p>
        </w:tc>
        <w:tc>
          <w:tcPr>
            <w:tcW w:w="2527" w:type="dxa"/>
            <w:shd w:val="clear" w:color="auto" w:fill="D9E2F3"/>
          </w:tcPr>
          <w:p w14:paraId="0D300DAA" w14:textId="77777777" w:rsidR="00817793" w:rsidRDefault="002719FC">
            <w:pPr>
              <w:spacing w:before="120" w:after="120"/>
              <w:jc w:val="center"/>
              <w:rPr>
                <w:b/>
              </w:rPr>
            </w:pPr>
            <w:r>
              <w:rPr>
                <w:b/>
              </w:rPr>
              <w:t>Cenário 2 - Referência</w:t>
            </w:r>
          </w:p>
        </w:tc>
        <w:tc>
          <w:tcPr>
            <w:tcW w:w="2527" w:type="dxa"/>
            <w:shd w:val="clear" w:color="auto" w:fill="D9E2F3"/>
          </w:tcPr>
          <w:p w14:paraId="32B83FAA" w14:textId="77777777" w:rsidR="00817793" w:rsidRDefault="002719FC">
            <w:pPr>
              <w:spacing w:before="120" w:after="120"/>
              <w:jc w:val="center"/>
              <w:rPr>
                <w:b/>
              </w:rPr>
            </w:pPr>
            <w:r>
              <w:rPr>
                <w:b/>
              </w:rPr>
              <w:t>Cenário 3 - Referência</w:t>
            </w:r>
          </w:p>
        </w:tc>
      </w:tr>
      <w:tr w:rsidR="00817793" w14:paraId="4FF9C83C" w14:textId="77777777">
        <w:trPr>
          <w:jc w:val="center"/>
        </w:trPr>
        <w:tc>
          <w:tcPr>
            <w:tcW w:w="1485" w:type="dxa"/>
          </w:tcPr>
          <w:p w14:paraId="1FE49A7A" w14:textId="77777777" w:rsidR="00817793" w:rsidRDefault="002719FC">
            <w:pPr>
              <w:spacing w:before="120" w:after="120"/>
              <w:jc w:val="center"/>
            </w:pPr>
            <w:r>
              <w:t>2025</w:t>
            </w:r>
          </w:p>
        </w:tc>
        <w:tc>
          <w:tcPr>
            <w:tcW w:w="2527" w:type="dxa"/>
          </w:tcPr>
          <w:p w14:paraId="3FDD5297" w14:textId="77777777" w:rsidR="00817793" w:rsidRDefault="002719FC">
            <w:pPr>
              <w:spacing w:before="120" w:after="120"/>
              <w:jc w:val="center"/>
            </w:pPr>
            <w:r>
              <w:t>R$ 24.450.105</w:t>
            </w:r>
          </w:p>
        </w:tc>
        <w:tc>
          <w:tcPr>
            <w:tcW w:w="2527" w:type="dxa"/>
            <w:vAlign w:val="center"/>
          </w:tcPr>
          <w:p w14:paraId="48F9663A" w14:textId="77777777" w:rsidR="00817793" w:rsidRDefault="002719FC">
            <w:pPr>
              <w:spacing w:before="120" w:after="120"/>
              <w:jc w:val="center"/>
            </w:pPr>
            <w:r>
              <w:t>R$ 39.120.169</w:t>
            </w:r>
          </w:p>
        </w:tc>
        <w:tc>
          <w:tcPr>
            <w:tcW w:w="2527" w:type="dxa"/>
            <w:vAlign w:val="center"/>
          </w:tcPr>
          <w:p w14:paraId="1A8669D9" w14:textId="77777777" w:rsidR="00817793" w:rsidRDefault="002719FC">
            <w:pPr>
              <w:spacing w:before="120" w:after="120"/>
              <w:jc w:val="center"/>
            </w:pPr>
            <w:r>
              <w:t>R$ 14.670.063</w:t>
            </w:r>
          </w:p>
        </w:tc>
      </w:tr>
      <w:tr w:rsidR="00817793" w14:paraId="4332A450" w14:textId="77777777">
        <w:trPr>
          <w:jc w:val="center"/>
        </w:trPr>
        <w:tc>
          <w:tcPr>
            <w:tcW w:w="1485" w:type="dxa"/>
          </w:tcPr>
          <w:p w14:paraId="5A7F8D70" w14:textId="77777777" w:rsidR="00817793" w:rsidRDefault="002719FC">
            <w:pPr>
              <w:spacing w:before="120" w:after="120"/>
              <w:jc w:val="center"/>
            </w:pPr>
            <w:r>
              <w:t>2026</w:t>
            </w:r>
          </w:p>
        </w:tc>
        <w:tc>
          <w:tcPr>
            <w:tcW w:w="2527" w:type="dxa"/>
          </w:tcPr>
          <w:p w14:paraId="0C1C855E" w14:textId="77777777" w:rsidR="00817793" w:rsidRDefault="002719FC">
            <w:pPr>
              <w:spacing w:before="120" w:after="120"/>
              <w:jc w:val="center"/>
            </w:pPr>
            <w:r>
              <w:t>R$ 32.403.078</w:t>
            </w:r>
          </w:p>
        </w:tc>
        <w:tc>
          <w:tcPr>
            <w:tcW w:w="2527" w:type="dxa"/>
            <w:vAlign w:val="center"/>
          </w:tcPr>
          <w:p w14:paraId="72640B9A" w14:textId="77777777" w:rsidR="00817793" w:rsidRDefault="002719FC">
            <w:pPr>
              <w:spacing w:before="120" w:after="120"/>
              <w:jc w:val="center"/>
            </w:pPr>
            <w:r>
              <w:t>R$ 53.808.182</w:t>
            </w:r>
          </w:p>
        </w:tc>
        <w:tc>
          <w:tcPr>
            <w:tcW w:w="2527" w:type="dxa"/>
            <w:vAlign w:val="center"/>
          </w:tcPr>
          <w:p w14:paraId="7FD332C9" w14:textId="77777777" w:rsidR="00817793" w:rsidRDefault="002719FC">
            <w:pPr>
              <w:spacing w:before="120" w:after="120"/>
              <w:jc w:val="center"/>
            </w:pPr>
            <w:r>
              <w:t>R$ 18.951.032</w:t>
            </w:r>
          </w:p>
        </w:tc>
      </w:tr>
      <w:tr w:rsidR="00817793" w14:paraId="6EFCD7CC" w14:textId="77777777">
        <w:trPr>
          <w:jc w:val="center"/>
        </w:trPr>
        <w:tc>
          <w:tcPr>
            <w:tcW w:w="1485" w:type="dxa"/>
          </w:tcPr>
          <w:p w14:paraId="10F66D9B" w14:textId="77777777" w:rsidR="00817793" w:rsidRDefault="002719FC">
            <w:pPr>
              <w:spacing w:before="120" w:after="120"/>
              <w:jc w:val="center"/>
            </w:pPr>
            <w:r>
              <w:t>2027</w:t>
            </w:r>
          </w:p>
        </w:tc>
        <w:tc>
          <w:tcPr>
            <w:tcW w:w="2527" w:type="dxa"/>
          </w:tcPr>
          <w:p w14:paraId="554BB41B" w14:textId="77777777" w:rsidR="00817793" w:rsidRDefault="002719FC">
            <w:pPr>
              <w:spacing w:before="120" w:after="120"/>
              <w:jc w:val="center"/>
            </w:pPr>
            <w:r>
              <w:t>R$ 39.787.165</w:t>
            </w:r>
          </w:p>
        </w:tc>
        <w:tc>
          <w:tcPr>
            <w:tcW w:w="2527" w:type="dxa"/>
            <w:vAlign w:val="center"/>
          </w:tcPr>
          <w:p w14:paraId="4B7D5117" w14:textId="77777777" w:rsidR="00817793" w:rsidRDefault="002719FC">
            <w:pPr>
              <w:spacing w:before="120" w:after="120"/>
              <w:jc w:val="center"/>
            </w:pPr>
            <w:r>
              <w:t>R$ 67.837.743</w:t>
            </w:r>
          </w:p>
        </w:tc>
        <w:tc>
          <w:tcPr>
            <w:tcW w:w="2527" w:type="dxa"/>
            <w:vAlign w:val="center"/>
          </w:tcPr>
          <w:p w14:paraId="2078C46F" w14:textId="77777777" w:rsidR="00817793" w:rsidRDefault="002719FC">
            <w:pPr>
              <w:spacing w:before="120" w:after="120"/>
              <w:jc w:val="center"/>
            </w:pPr>
            <w:r>
              <w:t>R$ 22.827.729</w:t>
            </w:r>
          </w:p>
        </w:tc>
      </w:tr>
      <w:tr w:rsidR="00817793" w14:paraId="4F07C338" w14:textId="77777777">
        <w:trPr>
          <w:jc w:val="center"/>
        </w:trPr>
        <w:tc>
          <w:tcPr>
            <w:tcW w:w="1485" w:type="dxa"/>
          </w:tcPr>
          <w:p w14:paraId="7EC9D1FE" w14:textId="77777777" w:rsidR="00817793" w:rsidRDefault="002719FC">
            <w:pPr>
              <w:spacing w:before="120" w:after="120"/>
              <w:jc w:val="center"/>
            </w:pPr>
            <w:r>
              <w:t>2028</w:t>
            </w:r>
          </w:p>
        </w:tc>
        <w:tc>
          <w:tcPr>
            <w:tcW w:w="2527" w:type="dxa"/>
          </w:tcPr>
          <w:p w14:paraId="10A82A9B" w14:textId="77777777" w:rsidR="00817793" w:rsidRDefault="002719FC">
            <w:pPr>
              <w:spacing w:before="120" w:after="120"/>
              <w:jc w:val="center"/>
            </w:pPr>
            <w:r>
              <w:t>R$ 47.018.917</w:t>
            </w:r>
          </w:p>
        </w:tc>
        <w:tc>
          <w:tcPr>
            <w:tcW w:w="2527" w:type="dxa"/>
            <w:vAlign w:val="center"/>
          </w:tcPr>
          <w:p w14:paraId="11FAD264" w14:textId="77777777" w:rsidR="00817793" w:rsidRDefault="002719FC">
            <w:pPr>
              <w:spacing w:before="120" w:after="120"/>
              <w:jc w:val="center"/>
            </w:pPr>
            <w:r>
              <w:t>R$ 81.780.047</w:t>
            </w:r>
          </w:p>
        </w:tc>
        <w:tc>
          <w:tcPr>
            <w:tcW w:w="2527" w:type="dxa"/>
            <w:vAlign w:val="center"/>
          </w:tcPr>
          <w:p w14:paraId="0396218F" w14:textId="77777777" w:rsidR="00817793" w:rsidRDefault="002719FC">
            <w:pPr>
              <w:spacing w:before="120" w:after="120"/>
              <w:jc w:val="center"/>
            </w:pPr>
            <w:r>
              <w:t>R$ 26.573.905</w:t>
            </w:r>
          </w:p>
        </w:tc>
      </w:tr>
      <w:tr w:rsidR="00817793" w14:paraId="783285C3" w14:textId="77777777">
        <w:trPr>
          <w:jc w:val="center"/>
        </w:trPr>
        <w:tc>
          <w:tcPr>
            <w:tcW w:w="1485" w:type="dxa"/>
          </w:tcPr>
          <w:p w14:paraId="68CF65C8" w14:textId="77777777" w:rsidR="00817793" w:rsidRDefault="002719FC">
            <w:pPr>
              <w:spacing w:before="120" w:after="120"/>
              <w:jc w:val="center"/>
            </w:pPr>
            <w:r>
              <w:t>2029</w:t>
            </w:r>
          </w:p>
        </w:tc>
        <w:tc>
          <w:tcPr>
            <w:tcW w:w="2527" w:type="dxa"/>
          </w:tcPr>
          <w:p w14:paraId="7D8F508A" w14:textId="77777777" w:rsidR="00817793" w:rsidRDefault="002719FC">
            <w:pPr>
              <w:spacing w:before="120" w:after="120"/>
              <w:jc w:val="center"/>
            </w:pPr>
            <w:r>
              <w:t>R$ 53.947.859</w:t>
            </w:r>
          </w:p>
        </w:tc>
        <w:tc>
          <w:tcPr>
            <w:tcW w:w="2527" w:type="dxa"/>
            <w:vAlign w:val="center"/>
          </w:tcPr>
          <w:p w14:paraId="166BDE5E" w14:textId="77777777" w:rsidR="00817793" w:rsidRDefault="002719FC">
            <w:pPr>
              <w:spacing w:before="120" w:after="120"/>
              <w:jc w:val="center"/>
            </w:pPr>
            <w:r>
              <w:t>R$ 95.351.269</w:t>
            </w:r>
          </w:p>
        </w:tc>
        <w:tc>
          <w:tcPr>
            <w:tcW w:w="2527" w:type="dxa"/>
            <w:vAlign w:val="center"/>
          </w:tcPr>
          <w:p w14:paraId="090F06AA" w14:textId="77777777" w:rsidR="00817793" w:rsidRDefault="002719FC">
            <w:pPr>
              <w:spacing w:before="120" w:after="120"/>
              <w:jc w:val="center"/>
            </w:pPr>
            <w:r>
              <w:t>R$ 30.110.041</w:t>
            </w:r>
          </w:p>
        </w:tc>
      </w:tr>
      <w:tr w:rsidR="00817793" w14:paraId="667FA490" w14:textId="77777777">
        <w:trPr>
          <w:jc w:val="center"/>
        </w:trPr>
        <w:tc>
          <w:tcPr>
            <w:tcW w:w="1485" w:type="dxa"/>
            <w:vAlign w:val="center"/>
          </w:tcPr>
          <w:p w14:paraId="645114B6" w14:textId="77777777" w:rsidR="00817793" w:rsidRDefault="002719FC">
            <w:pPr>
              <w:spacing w:before="120" w:after="120"/>
              <w:jc w:val="center"/>
              <w:rPr>
                <w:b/>
              </w:rPr>
            </w:pPr>
            <w:r>
              <w:rPr>
                <w:b/>
              </w:rPr>
              <w:t>Total</w:t>
            </w:r>
          </w:p>
        </w:tc>
        <w:tc>
          <w:tcPr>
            <w:tcW w:w="2527" w:type="dxa"/>
          </w:tcPr>
          <w:p w14:paraId="6AD501E5" w14:textId="77777777" w:rsidR="00817793" w:rsidRDefault="002719FC">
            <w:pPr>
              <w:spacing w:before="120" w:after="120"/>
              <w:jc w:val="center"/>
              <w:rPr>
                <w:b/>
              </w:rPr>
            </w:pPr>
            <w:r>
              <w:rPr>
                <w:b/>
              </w:rPr>
              <w:t>R$ 197.607.124</w:t>
            </w:r>
          </w:p>
        </w:tc>
        <w:tc>
          <w:tcPr>
            <w:tcW w:w="2527" w:type="dxa"/>
            <w:vAlign w:val="center"/>
          </w:tcPr>
          <w:p w14:paraId="5003B591" w14:textId="77777777" w:rsidR="00817793" w:rsidRDefault="002719FC">
            <w:pPr>
              <w:spacing w:before="120" w:after="120"/>
              <w:jc w:val="center"/>
              <w:rPr>
                <w:b/>
              </w:rPr>
            </w:pPr>
            <w:r>
              <w:rPr>
                <w:b/>
              </w:rPr>
              <w:t>R$ 337.897.409</w:t>
            </w:r>
          </w:p>
        </w:tc>
        <w:tc>
          <w:tcPr>
            <w:tcW w:w="2527" w:type="dxa"/>
            <w:vAlign w:val="center"/>
          </w:tcPr>
          <w:p w14:paraId="33FC9688" w14:textId="77777777" w:rsidR="00817793" w:rsidRDefault="002719FC">
            <w:pPr>
              <w:spacing w:before="120" w:after="120"/>
              <w:jc w:val="center"/>
              <w:rPr>
                <w:b/>
              </w:rPr>
            </w:pPr>
            <w:r>
              <w:rPr>
                <w:b/>
              </w:rPr>
              <w:t>R$ 113.132.772</w:t>
            </w:r>
          </w:p>
        </w:tc>
      </w:tr>
      <w:tr w:rsidR="00817793" w14:paraId="656D79A3" w14:textId="77777777">
        <w:trPr>
          <w:jc w:val="center"/>
        </w:trPr>
        <w:tc>
          <w:tcPr>
            <w:tcW w:w="1485" w:type="dxa"/>
            <w:vAlign w:val="center"/>
          </w:tcPr>
          <w:p w14:paraId="5500D680" w14:textId="77777777" w:rsidR="00817793" w:rsidRDefault="002719FC">
            <w:pPr>
              <w:spacing w:before="120" w:after="120"/>
              <w:jc w:val="center"/>
              <w:rPr>
                <w:b/>
              </w:rPr>
            </w:pPr>
            <w:r>
              <w:rPr>
                <w:b/>
              </w:rPr>
              <w:t>Média</w:t>
            </w:r>
          </w:p>
        </w:tc>
        <w:tc>
          <w:tcPr>
            <w:tcW w:w="2527" w:type="dxa"/>
          </w:tcPr>
          <w:p w14:paraId="10707E2D" w14:textId="77777777" w:rsidR="00817793" w:rsidRDefault="002719FC">
            <w:pPr>
              <w:spacing w:before="120" w:after="120"/>
              <w:jc w:val="center"/>
              <w:rPr>
                <w:b/>
              </w:rPr>
            </w:pPr>
            <w:r>
              <w:rPr>
                <w:b/>
              </w:rPr>
              <w:t>R$ 39.521.425</w:t>
            </w:r>
          </w:p>
        </w:tc>
        <w:tc>
          <w:tcPr>
            <w:tcW w:w="2527" w:type="dxa"/>
            <w:vAlign w:val="center"/>
          </w:tcPr>
          <w:p w14:paraId="0AC8B32D" w14:textId="77777777" w:rsidR="00817793" w:rsidRDefault="002719FC">
            <w:pPr>
              <w:spacing w:before="120" w:after="120"/>
              <w:jc w:val="center"/>
              <w:rPr>
                <w:b/>
              </w:rPr>
            </w:pPr>
            <w:r>
              <w:rPr>
                <w:b/>
              </w:rPr>
              <w:t>R$ 67.579.482</w:t>
            </w:r>
          </w:p>
        </w:tc>
        <w:tc>
          <w:tcPr>
            <w:tcW w:w="2527" w:type="dxa"/>
            <w:vAlign w:val="center"/>
          </w:tcPr>
          <w:p w14:paraId="75C36DF5" w14:textId="77777777" w:rsidR="00817793" w:rsidRDefault="002719FC">
            <w:pPr>
              <w:spacing w:before="120" w:after="120"/>
              <w:jc w:val="center"/>
              <w:rPr>
                <w:b/>
              </w:rPr>
            </w:pPr>
            <w:r>
              <w:rPr>
                <w:b/>
              </w:rPr>
              <w:t>R$ 22.626.554</w:t>
            </w:r>
          </w:p>
        </w:tc>
      </w:tr>
      <w:tr w:rsidR="00817793" w14:paraId="0A035F54" w14:textId="77777777">
        <w:trPr>
          <w:trHeight w:val="220"/>
          <w:jc w:val="center"/>
        </w:trPr>
        <w:tc>
          <w:tcPr>
            <w:tcW w:w="9066" w:type="dxa"/>
            <w:gridSpan w:val="4"/>
            <w:shd w:val="clear" w:color="auto" w:fill="D9E2F3"/>
            <w:vAlign w:val="center"/>
          </w:tcPr>
          <w:p w14:paraId="6BD2487B" w14:textId="77777777" w:rsidR="00817793" w:rsidRDefault="002719FC">
            <w:pPr>
              <w:spacing w:before="120" w:after="120"/>
              <w:jc w:val="center"/>
              <w:rPr>
                <w:b/>
              </w:rPr>
            </w:pPr>
            <w:bookmarkStart w:id="74" w:name="_1hmsyys" w:colFirst="0" w:colLast="0"/>
            <w:bookmarkEnd w:id="74"/>
            <w:r>
              <w:rPr>
                <w:b/>
              </w:rPr>
              <w:t>Parecerista</w:t>
            </w:r>
          </w:p>
        </w:tc>
      </w:tr>
      <w:tr w:rsidR="00817793" w14:paraId="1F27418B" w14:textId="77777777">
        <w:trPr>
          <w:jc w:val="center"/>
        </w:trPr>
        <w:tc>
          <w:tcPr>
            <w:tcW w:w="1485" w:type="dxa"/>
            <w:shd w:val="clear" w:color="auto" w:fill="D9E2F3"/>
            <w:vAlign w:val="center"/>
          </w:tcPr>
          <w:p w14:paraId="1C71DF0C" w14:textId="77777777" w:rsidR="00817793" w:rsidRDefault="002719FC">
            <w:pPr>
              <w:spacing w:before="120" w:after="120"/>
              <w:jc w:val="center"/>
              <w:rPr>
                <w:b/>
              </w:rPr>
            </w:pPr>
            <w:r>
              <w:rPr>
                <w:b/>
              </w:rPr>
              <w:t>Período</w:t>
            </w:r>
          </w:p>
        </w:tc>
        <w:tc>
          <w:tcPr>
            <w:tcW w:w="2527" w:type="dxa"/>
            <w:shd w:val="clear" w:color="auto" w:fill="D9E2F3"/>
          </w:tcPr>
          <w:p w14:paraId="611451F3" w14:textId="77777777" w:rsidR="00817793" w:rsidRDefault="002719FC">
            <w:pPr>
              <w:spacing w:before="120" w:after="120"/>
              <w:jc w:val="center"/>
              <w:rPr>
                <w:b/>
              </w:rPr>
            </w:pPr>
            <w:r>
              <w:rPr>
                <w:b/>
              </w:rPr>
              <w:t>Cenário 1 - Referência</w:t>
            </w:r>
          </w:p>
        </w:tc>
        <w:tc>
          <w:tcPr>
            <w:tcW w:w="2527" w:type="dxa"/>
            <w:shd w:val="clear" w:color="auto" w:fill="D9E2F3"/>
          </w:tcPr>
          <w:p w14:paraId="590D24EB" w14:textId="77777777" w:rsidR="00817793" w:rsidRDefault="002719FC">
            <w:pPr>
              <w:spacing w:before="120" w:after="120"/>
              <w:jc w:val="center"/>
              <w:rPr>
                <w:b/>
              </w:rPr>
            </w:pPr>
            <w:r>
              <w:rPr>
                <w:b/>
              </w:rPr>
              <w:t>Cenário 2 - Referência</w:t>
            </w:r>
          </w:p>
        </w:tc>
        <w:tc>
          <w:tcPr>
            <w:tcW w:w="2527" w:type="dxa"/>
            <w:shd w:val="clear" w:color="auto" w:fill="D9E2F3"/>
          </w:tcPr>
          <w:p w14:paraId="0ED44893" w14:textId="77777777" w:rsidR="00817793" w:rsidRDefault="002719FC">
            <w:pPr>
              <w:spacing w:before="120" w:after="120"/>
              <w:jc w:val="center"/>
              <w:rPr>
                <w:b/>
              </w:rPr>
            </w:pPr>
            <w:r>
              <w:rPr>
                <w:b/>
              </w:rPr>
              <w:t>Cenário 3 - Referência</w:t>
            </w:r>
          </w:p>
        </w:tc>
      </w:tr>
      <w:tr w:rsidR="00817793" w14:paraId="4DAFF5D5" w14:textId="77777777">
        <w:trPr>
          <w:jc w:val="center"/>
        </w:trPr>
        <w:tc>
          <w:tcPr>
            <w:tcW w:w="1485" w:type="dxa"/>
          </w:tcPr>
          <w:p w14:paraId="4FA36ACC" w14:textId="77777777" w:rsidR="00817793" w:rsidRDefault="002719FC">
            <w:pPr>
              <w:spacing w:before="120" w:after="120"/>
              <w:jc w:val="center"/>
            </w:pPr>
            <w:r>
              <w:t>2025</w:t>
            </w:r>
          </w:p>
        </w:tc>
        <w:tc>
          <w:tcPr>
            <w:tcW w:w="2527" w:type="dxa"/>
          </w:tcPr>
          <w:p w14:paraId="5E30D949" w14:textId="77777777" w:rsidR="00817793" w:rsidRDefault="002719FC">
            <w:pPr>
              <w:spacing w:before="120" w:after="120"/>
              <w:jc w:val="center"/>
            </w:pPr>
            <w:r>
              <w:t xml:space="preserve">R$ 14.699.243,68 </w:t>
            </w:r>
          </w:p>
        </w:tc>
        <w:tc>
          <w:tcPr>
            <w:tcW w:w="2527" w:type="dxa"/>
            <w:vAlign w:val="center"/>
          </w:tcPr>
          <w:p w14:paraId="7BBB4483" w14:textId="77777777" w:rsidR="00817793" w:rsidRDefault="002719FC">
            <w:pPr>
              <w:spacing w:before="120" w:after="120"/>
              <w:jc w:val="center"/>
            </w:pPr>
            <w:r>
              <w:t xml:space="preserve">R$ 23.518.789,89 </w:t>
            </w:r>
          </w:p>
        </w:tc>
        <w:tc>
          <w:tcPr>
            <w:tcW w:w="2527" w:type="dxa"/>
            <w:vAlign w:val="center"/>
          </w:tcPr>
          <w:p w14:paraId="11F042F5" w14:textId="77777777" w:rsidR="00817793" w:rsidRDefault="002719FC">
            <w:pPr>
              <w:spacing w:before="120" w:after="120"/>
              <w:jc w:val="center"/>
            </w:pPr>
            <w:r>
              <w:t xml:space="preserve">R$ 8.819.546,21     </w:t>
            </w:r>
          </w:p>
        </w:tc>
      </w:tr>
      <w:tr w:rsidR="00817793" w14:paraId="51364EE1" w14:textId="77777777">
        <w:trPr>
          <w:jc w:val="center"/>
        </w:trPr>
        <w:tc>
          <w:tcPr>
            <w:tcW w:w="1485" w:type="dxa"/>
          </w:tcPr>
          <w:p w14:paraId="1D5B6C8C" w14:textId="77777777" w:rsidR="00817793" w:rsidRDefault="002719FC">
            <w:pPr>
              <w:spacing w:before="120" w:after="120"/>
              <w:jc w:val="center"/>
            </w:pPr>
            <w:r>
              <w:t>2026</w:t>
            </w:r>
          </w:p>
        </w:tc>
        <w:tc>
          <w:tcPr>
            <w:tcW w:w="2527" w:type="dxa"/>
          </w:tcPr>
          <w:p w14:paraId="6DA6B5BC" w14:textId="77777777" w:rsidR="00817793" w:rsidRDefault="002719FC">
            <w:pPr>
              <w:spacing w:before="120" w:after="120"/>
              <w:jc w:val="center"/>
            </w:pPr>
            <w:r>
              <w:t xml:space="preserve">R$ 20.665.033,24 </w:t>
            </w:r>
          </w:p>
        </w:tc>
        <w:tc>
          <w:tcPr>
            <w:tcW w:w="2527" w:type="dxa"/>
            <w:vAlign w:val="center"/>
          </w:tcPr>
          <w:p w14:paraId="30BFD52C" w14:textId="77777777" w:rsidR="00817793" w:rsidRDefault="002719FC">
            <w:pPr>
              <w:spacing w:before="120" w:after="120"/>
              <w:jc w:val="center"/>
            </w:pPr>
            <w:r>
              <w:t xml:space="preserve">R$ 23.518.789,89 </w:t>
            </w:r>
          </w:p>
        </w:tc>
        <w:tc>
          <w:tcPr>
            <w:tcW w:w="2527" w:type="dxa"/>
            <w:vAlign w:val="center"/>
          </w:tcPr>
          <w:p w14:paraId="51BB902A" w14:textId="77777777" w:rsidR="00817793" w:rsidRDefault="002719FC">
            <w:pPr>
              <w:spacing w:before="120" w:after="120"/>
              <w:jc w:val="center"/>
            </w:pPr>
            <w:r>
              <w:t xml:space="preserve"> R$ 12.102.410,00 </w:t>
            </w:r>
          </w:p>
        </w:tc>
      </w:tr>
      <w:tr w:rsidR="00817793" w14:paraId="540426B7" w14:textId="77777777">
        <w:trPr>
          <w:jc w:val="center"/>
        </w:trPr>
        <w:tc>
          <w:tcPr>
            <w:tcW w:w="1485" w:type="dxa"/>
          </w:tcPr>
          <w:p w14:paraId="0867402A" w14:textId="77777777" w:rsidR="00817793" w:rsidRDefault="002719FC">
            <w:pPr>
              <w:spacing w:before="120" w:after="120"/>
              <w:jc w:val="center"/>
            </w:pPr>
            <w:r>
              <w:t>2027</w:t>
            </w:r>
          </w:p>
        </w:tc>
        <w:tc>
          <w:tcPr>
            <w:tcW w:w="2527" w:type="dxa"/>
          </w:tcPr>
          <w:p w14:paraId="1C56BA8D" w14:textId="77777777" w:rsidR="00817793" w:rsidRDefault="002719FC">
            <w:pPr>
              <w:spacing w:before="120" w:after="120"/>
              <w:jc w:val="center"/>
            </w:pPr>
            <w:r>
              <w:t xml:space="preserve">R$ 26.122.974,93 </w:t>
            </w:r>
          </w:p>
        </w:tc>
        <w:tc>
          <w:tcPr>
            <w:tcW w:w="2527" w:type="dxa"/>
            <w:vAlign w:val="center"/>
          </w:tcPr>
          <w:p w14:paraId="6348A735" w14:textId="77777777" w:rsidR="00817793" w:rsidRDefault="002719FC">
            <w:pPr>
              <w:spacing w:before="120" w:after="120"/>
              <w:jc w:val="center"/>
            </w:pPr>
            <w:r>
              <w:t xml:space="preserve">  R$ 44.421.154,23 </w:t>
            </w:r>
          </w:p>
        </w:tc>
        <w:tc>
          <w:tcPr>
            <w:tcW w:w="2527" w:type="dxa"/>
            <w:vAlign w:val="center"/>
          </w:tcPr>
          <w:p w14:paraId="7CEA16F5" w14:textId="77777777" w:rsidR="00817793" w:rsidRDefault="002719FC">
            <w:pPr>
              <w:spacing w:before="120" w:after="120"/>
              <w:jc w:val="center"/>
            </w:pPr>
            <w:r>
              <w:t xml:space="preserve"> R$ 15.017.686,37 </w:t>
            </w:r>
          </w:p>
        </w:tc>
      </w:tr>
      <w:tr w:rsidR="00817793" w14:paraId="00241B76" w14:textId="77777777">
        <w:trPr>
          <w:jc w:val="center"/>
        </w:trPr>
        <w:tc>
          <w:tcPr>
            <w:tcW w:w="1485" w:type="dxa"/>
          </w:tcPr>
          <w:p w14:paraId="20DCEFFB" w14:textId="77777777" w:rsidR="00817793" w:rsidRDefault="002719FC">
            <w:pPr>
              <w:spacing w:before="120" w:after="120"/>
              <w:jc w:val="center"/>
            </w:pPr>
            <w:r>
              <w:t>2028</w:t>
            </w:r>
          </w:p>
        </w:tc>
        <w:tc>
          <w:tcPr>
            <w:tcW w:w="2527" w:type="dxa"/>
          </w:tcPr>
          <w:p w14:paraId="4BCDEA0F" w14:textId="77777777" w:rsidR="00817793" w:rsidRDefault="002719FC">
            <w:pPr>
              <w:spacing w:before="120" w:after="120"/>
              <w:jc w:val="center"/>
            </w:pPr>
            <w:r>
              <w:t xml:space="preserve">  R$ 31.431.193,27 </w:t>
            </w:r>
          </w:p>
        </w:tc>
        <w:tc>
          <w:tcPr>
            <w:tcW w:w="2527" w:type="dxa"/>
            <w:vAlign w:val="center"/>
          </w:tcPr>
          <w:p w14:paraId="4F09015E" w14:textId="77777777" w:rsidR="00817793" w:rsidRDefault="002719FC">
            <w:pPr>
              <w:spacing w:before="120" w:after="120"/>
              <w:jc w:val="center"/>
            </w:pPr>
            <w:r>
              <w:t xml:space="preserve"> R$ 54.512.496,99 </w:t>
            </w:r>
          </w:p>
        </w:tc>
        <w:tc>
          <w:tcPr>
            <w:tcW w:w="2527" w:type="dxa"/>
            <w:vAlign w:val="center"/>
          </w:tcPr>
          <w:p w14:paraId="51FB16DC" w14:textId="77777777" w:rsidR="00817793" w:rsidRDefault="002719FC">
            <w:pPr>
              <w:spacing w:before="120" w:after="120"/>
              <w:jc w:val="center"/>
            </w:pPr>
            <w:r>
              <w:t xml:space="preserve">  R$ 17.803.069,02 </w:t>
            </w:r>
          </w:p>
        </w:tc>
      </w:tr>
      <w:tr w:rsidR="00817793" w14:paraId="7A5288B2" w14:textId="77777777">
        <w:trPr>
          <w:jc w:val="center"/>
        </w:trPr>
        <w:tc>
          <w:tcPr>
            <w:tcW w:w="1485" w:type="dxa"/>
          </w:tcPr>
          <w:p w14:paraId="34CD6E64" w14:textId="77777777" w:rsidR="00817793" w:rsidRDefault="002719FC">
            <w:pPr>
              <w:spacing w:before="120" w:after="120"/>
              <w:jc w:val="center"/>
            </w:pPr>
            <w:r>
              <w:t>2029</w:t>
            </w:r>
          </w:p>
        </w:tc>
        <w:tc>
          <w:tcPr>
            <w:tcW w:w="2527" w:type="dxa"/>
          </w:tcPr>
          <w:p w14:paraId="658D52FF" w14:textId="77777777" w:rsidR="00817793" w:rsidRDefault="002719FC">
            <w:pPr>
              <w:spacing w:before="120" w:after="120"/>
              <w:jc w:val="center"/>
            </w:pPr>
            <w:r>
              <w:t xml:space="preserve">  R$ 36.520.184,15 </w:t>
            </w:r>
          </w:p>
        </w:tc>
        <w:tc>
          <w:tcPr>
            <w:tcW w:w="2527" w:type="dxa"/>
            <w:vAlign w:val="center"/>
          </w:tcPr>
          <w:p w14:paraId="6D86E45F" w14:textId="77777777" w:rsidR="00817793" w:rsidRDefault="002719FC">
            <w:pPr>
              <w:spacing w:before="120" w:after="120"/>
              <w:jc w:val="center"/>
            </w:pPr>
            <w:r>
              <w:t xml:space="preserve">  R$ 64.369.504,83 </w:t>
            </w:r>
          </w:p>
        </w:tc>
        <w:tc>
          <w:tcPr>
            <w:tcW w:w="2527" w:type="dxa"/>
            <w:vAlign w:val="center"/>
          </w:tcPr>
          <w:p w14:paraId="694CB8A2" w14:textId="77777777" w:rsidR="00817793" w:rsidRDefault="002719FC">
            <w:pPr>
              <w:spacing w:before="120" w:after="120"/>
              <w:jc w:val="center"/>
            </w:pPr>
            <w:r>
              <w:t xml:space="preserve">  R$ 20.427.807,94 </w:t>
            </w:r>
          </w:p>
        </w:tc>
      </w:tr>
      <w:tr w:rsidR="00817793" w14:paraId="78EC326E" w14:textId="77777777">
        <w:trPr>
          <w:jc w:val="center"/>
        </w:trPr>
        <w:tc>
          <w:tcPr>
            <w:tcW w:w="1485" w:type="dxa"/>
            <w:vAlign w:val="center"/>
          </w:tcPr>
          <w:p w14:paraId="0E746F62" w14:textId="77777777" w:rsidR="00817793" w:rsidRDefault="002719FC">
            <w:pPr>
              <w:spacing w:before="120" w:after="120"/>
              <w:jc w:val="center"/>
              <w:rPr>
                <w:b/>
              </w:rPr>
            </w:pPr>
            <w:r>
              <w:rPr>
                <w:b/>
              </w:rPr>
              <w:t>Total</w:t>
            </w:r>
          </w:p>
        </w:tc>
        <w:tc>
          <w:tcPr>
            <w:tcW w:w="2527" w:type="dxa"/>
          </w:tcPr>
          <w:p w14:paraId="2ED578F4" w14:textId="77777777" w:rsidR="00817793" w:rsidRDefault="002719FC">
            <w:pPr>
              <w:spacing w:before="120" w:after="120"/>
              <w:jc w:val="center"/>
              <w:rPr>
                <w:b/>
              </w:rPr>
            </w:pPr>
            <w:r>
              <w:rPr>
                <w:b/>
              </w:rPr>
              <w:t xml:space="preserve"> R$ 129.438.629,25 </w:t>
            </w:r>
          </w:p>
        </w:tc>
        <w:tc>
          <w:tcPr>
            <w:tcW w:w="2527" w:type="dxa"/>
            <w:vAlign w:val="center"/>
          </w:tcPr>
          <w:p w14:paraId="331C5CF5" w14:textId="77777777" w:rsidR="00817793" w:rsidRDefault="002719FC">
            <w:pPr>
              <w:spacing w:before="120" w:after="120"/>
              <w:jc w:val="center"/>
              <w:rPr>
                <w:b/>
              </w:rPr>
            </w:pPr>
            <w:r>
              <w:rPr>
                <w:b/>
              </w:rPr>
              <w:t xml:space="preserve">R$ 221.072.438,88 </w:t>
            </w:r>
          </w:p>
        </w:tc>
        <w:tc>
          <w:tcPr>
            <w:tcW w:w="2527" w:type="dxa"/>
            <w:vAlign w:val="center"/>
          </w:tcPr>
          <w:p w14:paraId="28EEBAB4" w14:textId="77777777" w:rsidR="00817793" w:rsidRDefault="002719FC">
            <w:pPr>
              <w:spacing w:before="120" w:after="120"/>
              <w:jc w:val="center"/>
              <w:rPr>
                <w:b/>
              </w:rPr>
            </w:pPr>
            <w:r>
              <w:rPr>
                <w:b/>
              </w:rPr>
              <w:t xml:space="preserve">R$ 74.170.519,53 </w:t>
            </w:r>
          </w:p>
        </w:tc>
      </w:tr>
      <w:tr w:rsidR="00817793" w14:paraId="5254FF07" w14:textId="77777777">
        <w:trPr>
          <w:trHeight w:val="300"/>
          <w:jc w:val="center"/>
        </w:trPr>
        <w:tc>
          <w:tcPr>
            <w:tcW w:w="1485" w:type="dxa"/>
            <w:vAlign w:val="center"/>
          </w:tcPr>
          <w:p w14:paraId="39E8848C" w14:textId="77777777" w:rsidR="00817793" w:rsidRDefault="002719FC">
            <w:pPr>
              <w:spacing w:before="120" w:after="120"/>
              <w:jc w:val="center"/>
              <w:rPr>
                <w:b/>
              </w:rPr>
            </w:pPr>
            <w:r>
              <w:rPr>
                <w:b/>
              </w:rPr>
              <w:t>Média</w:t>
            </w:r>
          </w:p>
        </w:tc>
        <w:tc>
          <w:tcPr>
            <w:tcW w:w="2527" w:type="dxa"/>
          </w:tcPr>
          <w:p w14:paraId="2E548723" w14:textId="77777777" w:rsidR="00817793" w:rsidRDefault="002719FC">
            <w:pPr>
              <w:spacing w:before="120" w:after="120"/>
              <w:jc w:val="center"/>
              <w:rPr>
                <w:b/>
              </w:rPr>
            </w:pPr>
            <w:r>
              <w:rPr>
                <w:b/>
              </w:rPr>
              <w:t xml:space="preserve">  R$ 25.887.725,85</w:t>
            </w:r>
          </w:p>
        </w:tc>
        <w:tc>
          <w:tcPr>
            <w:tcW w:w="2527" w:type="dxa"/>
            <w:vAlign w:val="center"/>
          </w:tcPr>
          <w:p w14:paraId="6339AAD4" w14:textId="77777777" w:rsidR="00817793" w:rsidRDefault="002719FC">
            <w:pPr>
              <w:spacing w:before="120" w:after="120"/>
              <w:jc w:val="center"/>
              <w:rPr>
                <w:b/>
              </w:rPr>
            </w:pPr>
            <w:r>
              <w:rPr>
                <w:b/>
              </w:rPr>
              <w:t xml:space="preserve">  R$ 44.214.487,78</w:t>
            </w:r>
          </w:p>
        </w:tc>
        <w:tc>
          <w:tcPr>
            <w:tcW w:w="2527" w:type="dxa"/>
            <w:vAlign w:val="center"/>
          </w:tcPr>
          <w:p w14:paraId="314413B2" w14:textId="77777777" w:rsidR="00817793" w:rsidRDefault="002719FC">
            <w:pPr>
              <w:spacing w:before="120" w:after="120"/>
              <w:jc w:val="center"/>
              <w:rPr>
                <w:b/>
              </w:rPr>
            </w:pPr>
            <w:r>
              <w:rPr>
                <w:b/>
              </w:rPr>
              <w:t>R$ 14.834.103,91</w:t>
            </w:r>
          </w:p>
        </w:tc>
      </w:tr>
    </w:tbl>
    <w:p w14:paraId="1C2776EB" w14:textId="77777777" w:rsidR="00817793" w:rsidRDefault="00817793">
      <w:pPr>
        <w:rPr>
          <w:highlight w:val="yellow"/>
        </w:rPr>
      </w:pPr>
    </w:p>
    <w:p w14:paraId="3BD6E6FD" w14:textId="77777777" w:rsidR="00962048" w:rsidRDefault="00962048">
      <w:pPr>
        <w:rPr>
          <w:highlight w:val="yellow"/>
        </w:rPr>
      </w:pPr>
    </w:p>
    <w:tbl>
      <w:tblPr>
        <w:tblStyle w:val="afff9"/>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57D2F360" w14:textId="77777777">
        <w:trPr>
          <w:trHeight w:val="416"/>
        </w:trPr>
        <w:tc>
          <w:tcPr>
            <w:tcW w:w="9072" w:type="dxa"/>
            <w:shd w:val="clear" w:color="auto" w:fill="D9E2F3"/>
            <w:vAlign w:val="center"/>
          </w:tcPr>
          <w:p w14:paraId="0D301B0C" w14:textId="77777777" w:rsidR="00817793" w:rsidRDefault="002719FC">
            <w:pPr>
              <w:spacing w:before="120" w:after="120" w:line="240" w:lineRule="auto"/>
              <w:jc w:val="center"/>
              <w:rPr>
                <w:b/>
              </w:rPr>
            </w:pPr>
            <w:r>
              <w:rPr>
                <w:b/>
              </w:rPr>
              <w:lastRenderedPageBreak/>
              <w:t>Comentários sobre o impacto orçamentário incremental</w:t>
            </w:r>
          </w:p>
        </w:tc>
      </w:tr>
      <w:tr w:rsidR="00817793" w14:paraId="545A0FF9" w14:textId="77777777">
        <w:trPr>
          <w:trHeight w:val="750"/>
        </w:trPr>
        <w:tc>
          <w:tcPr>
            <w:tcW w:w="9072" w:type="dxa"/>
            <w:vAlign w:val="center"/>
          </w:tcPr>
          <w:p w14:paraId="1D5D3F5B" w14:textId="77777777" w:rsidR="00817793" w:rsidRDefault="002719FC">
            <w:pPr>
              <w:spacing w:before="120" w:after="120" w:line="240" w:lineRule="auto"/>
            </w:pPr>
            <w:r>
              <w:t xml:space="preserve">Em relação à diferença encontrada entre a análise do PROPONENTE e do PARECERISTA, observou-se uma mudança de um impacto incremental médio anual de </w:t>
            </w:r>
            <w:r>
              <w:rPr>
                <w:b/>
              </w:rPr>
              <w:t>R$ 39,50 milhões</w:t>
            </w:r>
            <w:r>
              <w:t xml:space="preserve"> (PROPONENTE) com a incorporação do </w:t>
            </w:r>
            <w:proofErr w:type="spellStart"/>
            <w:r>
              <w:t>anifrolumabe</w:t>
            </w:r>
            <w:proofErr w:type="spellEnd"/>
            <w:r>
              <w:t xml:space="preserve"> para </w:t>
            </w:r>
            <w:r>
              <w:rPr>
                <w:b/>
              </w:rPr>
              <w:t xml:space="preserve">R$ 26 milhões </w:t>
            </w:r>
            <w:r>
              <w:t>(PARECERISTA).</w:t>
            </w:r>
          </w:p>
          <w:p w14:paraId="0808B3F8" w14:textId="77777777" w:rsidR="00817793" w:rsidRDefault="002719FC">
            <w:pPr>
              <w:spacing w:before="120" w:after="120" w:line="240" w:lineRule="auto"/>
              <w:rPr>
                <w:i/>
                <w:color w:val="FF0000"/>
              </w:rPr>
            </w:pPr>
            <w:r>
              <w:rPr>
                <w:highlight w:val="white"/>
              </w:rPr>
              <w:t xml:space="preserve">Caso o cenário fosse de progressão de mercado de 40-80%, o impacto orçamentário incremental médio anual calculado pelo PARECERISTA seria de </w:t>
            </w:r>
            <w:r>
              <w:rPr>
                <w:b/>
                <w:highlight w:val="white"/>
              </w:rPr>
              <w:t>R$ 44 milhões</w:t>
            </w:r>
            <w:r>
              <w:rPr>
                <w:highlight w:val="white"/>
              </w:rPr>
              <w:t>.</w:t>
            </w:r>
          </w:p>
        </w:tc>
      </w:tr>
    </w:tbl>
    <w:p w14:paraId="358E11D8" w14:textId="77777777" w:rsidR="00962048" w:rsidRPr="00962048" w:rsidRDefault="00962048" w:rsidP="00962048">
      <w:bookmarkStart w:id="75" w:name="_41mghml" w:colFirst="0" w:colLast="0"/>
      <w:bookmarkEnd w:id="75"/>
    </w:p>
    <w:p w14:paraId="76F60C29" w14:textId="3E68392C" w:rsidR="00817793" w:rsidRDefault="002719FC">
      <w:pPr>
        <w:pStyle w:val="Ttulo2"/>
      </w:pPr>
      <w:r>
        <w:t>7.3 Discussão e conclusões</w:t>
      </w:r>
    </w:p>
    <w:p w14:paraId="6136B83D" w14:textId="77777777" w:rsidR="00817793" w:rsidRDefault="002719FC">
      <w:pPr>
        <w:pStyle w:val="Ttulo4"/>
      </w:pPr>
      <w:bookmarkStart w:id="76" w:name="_jt92ahomwruv" w:colFirst="0" w:colLast="0"/>
      <w:bookmarkEnd w:id="76"/>
      <w:r>
        <w:rPr>
          <w:b/>
        </w:rPr>
        <w:t>Quadro 34.</w:t>
      </w:r>
      <w:r>
        <w:t xml:space="preserve"> Componentes da discussão e das conclusões</w:t>
      </w:r>
    </w:p>
    <w:tbl>
      <w:tblPr>
        <w:tblStyle w:val="afffa"/>
        <w:tblW w:w="928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26"/>
        <w:gridCol w:w="3260"/>
        <w:gridCol w:w="4500"/>
      </w:tblGrid>
      <w:tr w:rsidR="00817793" w14:paraId="3D1B9F3D" w14:textId="77777777">
        <w:tc>
          <w:tcPr>
            <w:tcW w:w="1526" w:type="dxa"/>
            <w:shd w:val="clear" w:color="auto" w:fill="D9E2F3"/>
          </w:tcPr>
          <w:p w14:paraId="2011DA63" w14:textId="77777777" w:rsidR="00817793" w:rsidRDefault="002719FC">
            <w:pPr>
              <w:spacing w:before="120" w:after="120"/>
              <w:jc w:val="center"/>
            </w:pPr>
            <w:r>
              <w:rPr>
                <w:b/>
              </w:rPr>
              <w:t>Componente</w:t>
            </w:r>
          </w:p>
        </w:tc>
        <w:tc>
          <w:tcPr>
            <w:tcW w:w="3260" w:type="dxa"/>
            <w:shd w:val="clear" w:color="auto" w:fill="D9E2F3"/>
          </w:tcPr>
          <w:p w14:paraId="7270FE07" w14:textId="77777777" w:rsidR="00817793" w:rsidRDefault="002719FC">
            <w:pPr>
              <w:spacing w:before="120" w:after="120"/>
              <w:jc w:val="center"/>
            </w:pPr>
            <w:r>
              <w:rPr>
                <w:b/>
              </w:rPr>
              <w:t>Proponente</w:t>
            </w:r>
          </w:p>
        </w:tc>
        <w:tc>
          <w:tcPr>
            <w:tcW w:w="4500" w:type="dxa"/>
            <w:shd w:val="clear" w:color="auto" w:fill="D9E2F3"/>
          </w:tcPr>
          <w:p w14:paraId="0563D6EF" w14:textId="77777777" w:rsidR="00817793" w:rsidRDefault="002719FC">
            <w:pPr>
              <w:spacing w:before="120" w:after="120"/>
              <w:jc w:val="center"/>
            </w:pPr>
            <w:r>
              <w:rPr>
                <w:b/>
              </w:rPr>
              <w:t>Análise da proposta</w:t>
            </w:r>
          </w:p>
        </w:tc>
      </w:tr>
      <w:tr w:rsidR="00817793" w14:paraId="78E144BF" w14:textId="77777777">
        <w:tc>
          <w:tcPr>
            <w:tcW w:w="1526" w:type="dxa"/>
          </w:tcPr>
          <w:p w14:paraId="49B7E78B" w14:textId="77777777" w:rsidR="00817793" w:rsidRDefault="002719FC">
            <w:pPr>
              <w:spacing w:before="120" w:after="120"/>
              <w:jc w:val="center"/>
              <w:rPr>
                <w:b/>
              </w:rPr>
            </w:pPr>
            <w:r>
              <w:rPr>
                <w:b/>
              </w:rPr>
              <w:t>Principais achados</w:t>
            </w:r>
          </w:p>
        </w:tc>
        <w:tc>
          <w:tcPr>
            <w:tcW w:w="3260" w:type="dxa"/>
          </w:tcPr>
          <w:p w14:paraId="7BB50A42" w14:textId="77777777" w:rsidR="00817793" w:rsidRDefault="002719FC">
            <w:pPr>
              <w:spacing w:before="120" w:after="120"/>
              <w:jc w:val="center"/>
            </w:pPr>
            <w:r>
              <w:t xml:space="preserve">O principal custo associado à incorporação de </w:t>
            </w:r>
            <w:proofErr w:type="spellStart"/>
            <w:r>
              <w:t>anifrolumabe</w:t>
            </w:r>
            <w:proofErr w:type="spellEnd"/>
            <w:r>
              <w:t xml:space="preserve"> é sua aquisição, estimada em R$ 204,6 milhões ao longo de cinco anos. No entanto, esse custo é parcialmente compensado pela redução de custos relacionados a exacerbações (-R$ 6,7 milhões) e lesões orgânicas (-R$ 0,6 milhões), resultando em um impacto orçamentário total de R$ 197,6 milhões. Considerando a população de beneficiários da saúde suplementar (56.129.733 em 2025 e 56.896.813 em 2029), o custo mensal por usuário seria de R$ 0,04 no primeiro ano e R$ 0,08 no quinto ano.</w:t>
            </w:r>
          </w:p>
          <w:p w14:paraId="76984A30" w14:textId="77777777" w:rsidR="00817793" w:rsidRDefault="002719FC">
            <w:pPr>
              <w:spacing w:before="120" w:after="120"/>
              <w:jc w:val="center"/>
            </w:pPr>
            <w:r>
              <w:t xml:space="preserve">A análise de sensibilidade reforça a robustez das estimativas, demonstrando que os principais fatores que influenciam o impacto orçamentário são o custo do </w:t>
            </w:r>
            <w:proofErr w:type="spellStart"/>
            <w:r>
              <w:t>anifrolumabe</w:t>
            </w:r>
            <w:proofErr w:type="spellEnd"/>
            <w:r>
              <w:t>, parâmetros epidemiológicos e a taxa de incorporação.</w:t>
            </w:r>
          </w:p>
        </w:tc>
        <w:tc>
          <w:tcPr>
            <w:tcW w:w="4500" w:type="dxa"/>
          </w:tcPr>
          <w:p w14:paraId="70E496BF" w14:textId="77777777" w:rsidR="00817793" w:rsidRDefault="002719FC">
            <w:pPr>
              <w:spacing w:before="120" w:after="120"/>
            </w:pPr>
            <w:r>
              <w:t xml:space="preserve">Apesar da considerável diminuição da população elegível nos cálculos do parecerista, o impacto orçamentário incremental continuou resultando muito alto - </w:t>
            </w:r>
            <w:r>
              <w:rPr>
                <w:b/>
              </w:rPr>
              <w:t>R$ 129 milhões ao final de 5 anos</w:t>
            </w:r>
            <w:r>
              <w:t>.</w:t>
            </w:r>
          </w:p>
          <w:p w14:paraId="6AC9B881" w14:textId="264F5B6B" w:rsidR="00817793" w:rsidRDefault="002719FC">
            <w:pPr>
              <w:spacing w:before="120" w:after="120"/>
            </w:pPr>
            <w:r>
              <w:t xml:space="preserve">Conforme discutido nas seções anteriores, existem dúvidas sobre a importância do benefício da tecnologia aos pacientes. Nos próprios cálculos da AIO, a população em uso de </w:t>
            </w:r>
            <w:proofErr w:type="spellStart"/>
            <w:r>
              <w:t>anifrolumabe</w:t>
            </w:r>
            <w:proofErr w:type="spellEnd"/>
            <w:r>
              <w:t xml:space="preserve"> diminui pela metade (49%) ao final do primeiro ano, por descontinuação do tratamento. Na reanálise realizada pelos pareceristas, foram incluídos três ensaios clínicos: TULIP-1 (</w:t>
            </w:r>
            <w:proofErr w:type="spellStart"/>
            <w:r>
              <w:t>Furie</w:t>
            </w:r>
            <w:proofErr w:type="spellEnd"/>
            <w:r>
              <w:t xml:space="preserve"> et al., 2019), TULIP-2 (Morand et al., 2020) e TULIP-LTE (</w:t>
            </w:r>
            <w:proofErr w:type="spellStart"/>
            <w:r>
              <w:t>Kalunian</w:t>
            </w:r>
            <w:proofErr w:type="spellEnd"/>
            <w:r>
              <w:t xml:space="preserve"> et al., 2023), sendo que a comparação entre </w:t>
            </w:r>
            <w:proofErr w:type="spellStart"/>
            <w:r>
              <w:t>anifrolumabe</w:t>
            </w:r>
            <w:proofErr w:type="spellEnd"/>
            <w:r>
              <w:t xml:space="preserve"> e placebo nos desfechos avaliados resultam ou sem significância estatística ou com muito baixa força de evidência.</w:t>
            </w:r>
          </w:p>
        </w:tc>
      </w:tr>
      <w:tr w:rsidR="00817793" w14:paraId="1435BD5B" w14:textId="77777777">
        <w:tc>
          <w:tcPr>
            <w:tcW w:w="1526" w:type="dxa"/>
          </w:tcPr>
          <w:p w14:paraId="545640E3" w14:textId="77777777" w:rsidR="00817793" w:rsidRDefault="002719FC">
            <w:pPr>
              <w:spacing w:before="120" w:after="120"/>
              <w:jc w:val="center"/>
              <w:rPr>
                <w:b/>
              </w:rPr>
            </w:pPr>
            <w:r>
              <w:rPr>
                <w:b/>
              </w:rPr>
              <w:lastRenderedPageBreak/>
              <w:t>Limitações</w:t>
            </w:r>
          </w:p>
        </w:tc>
        <w:tc>
          <w:tcPr>
            <w:tcW w:w="3260" w:type="dxa"/>
          </w:tcPr>
          <w:p w14:paraId="183D9094" w14:textId="77777777" w:rsidR="00817793" w:rsidRDefault="002719FC">
            <w:pPr>
              <w:spacing w:before="120" w:after="120"/>
              <w:jc w:val="center"/>
            </w:pPr>
            <w:r>
              <w:t>Não descritas</w:t>
            </w:r>
          </w:p>
        </w:tc>
        <w:tc>
          <w:tcPr>
            <w:tcW w:w="4500" w:type="dxa"/>
          </w:tcPr>
          <w:p w14:paraId="325D12A2" w14:textId="77777777" w:rsidR="00817793" w:rsidRDefault="002719FC">
            <w:pPr>
              <w:spacing w:before="120" w:after="120"/>
              <w:rPr>
                <w:i/>
                <w:color w:val="FF0000"/>
              </w:rPr>
            </w:pPr>
            <w:r>
              <w:t>Não foram listadas pontualmente as limitações do estudo.</w:t>
            </w:r>
          </w:p>
        </w:tc>
      </w:tr>
      <w:tr w:rsidR="00817793" w14:paraId="63826349" w14:textId="77777777">
        <w:tc>
          <w:tcPr>
            <w:tcW w:w="1526" w:type="dxa"/>
          </w:tcPr>
          <w:p w14:paraId="6BE1BDAE" w14:textId="77777777" w:rsidR="00817793" w:rsidRDefault="002719FC">
            <w:pPr>
              <w:spacing w:before="120" w:after="120"/>
              <w:jc w:val="center"/>
              <w:rPr>
                <w:b/>
              </w:rPr>
            </w:pPr>
            <w:r>
              <w:rPr>
                <w:b/>
              </w:rPr>
              <w:t>Generalização dos achados</w:t>
            </w:r>
          </w:p>
          <w:p w14:paraId="6C05AACE" w14:textId="77777777" w:rsidR="00817793" w:rsidRDefault="002719FC">
            <w:pPr>
              <w:spacing w:before="120" w:after="120"/>
              <w:jc w:val="center"/>
              <w:rPr>
                <w:b/>
              </w:rPr>
            </w:pPr>
            <w:r>
              <w:rPr>
                <w:b/>
              </w:rPr>
              <w:t>Implicações para a prática</w:t>
            </w:r>
          </w:p>
        </w:tc>
        <w:tc>
          <w:tcPr>
            <w:tcW w:w="3260" w:type="dxa"/>
          </w:tcPr>
          <w:p w14:paraId="3909DF72" w14:textId="77777777" w:rsidR="00817793" w:rsidRDefault="002719FC">
            <w:pPr>
              <w:spacing w:before="120" w:after="120"/>
              <w:jc w:val="center"/>
            </w:pPr>
            <w:r>
              <w:t xml:space="preserve">A adoção de regras de descontinuação permite que um número significativo de pacientes tenha acesso ao </w:t>
            </w:r>
            <w:proofErr w:type="spellStart"/>
            <w:r>
              <w:t>anifrolumabe</w:t>
            </w:r>
            <w:proofErr w:type="spellEnd"/>
            <w:r>
              <w:t xml:space="preserve">, assegurando que apenas aqueles com resposta clínica significativa continuem o tratamento a longo prazo. Adicionalmente, o medicamento está sendo proposto exclusivamente para o subgrupo de pacientes com SLEDAI-2K ≥ 10 ou CLASI ≥ 10. Essas estratégias não apenas reduzem substancialmente o impacto orçamentário, mas também garantem que o </w:t>
            </w:r>
            <w:proofErr w:type="spellStart"/>
            <w:r>
              <w:t>anifrolumabe</w:t>
            </w:r>
            <w:proofErr w:type="spellEnd"/>
            <w:r>
              <w:t xml:space="preserve"> seja direcionado aos pacientes com maior potencial de benefício, otimizando a relação entre custos e resultados clínicos.</w:t>
            </w:r>
          </w:p>
        </w:tc>
        <w:tc>
          <w:tcPr>
            <w:tcW w:w="4500" w:type="dxa"/>
          </w:tcPr>
          <w:p w14:paraId="35EA3FCA" w14:textId="1DA39361" w:rsidR="00817793" w:rsidRDefault="002719FC">
            <w:pPr>
              <w:spacing w:before="120" w:after="120"/>
            </w:pPr>
            <w:r>
              <w:t xml:space="preserve">Pelos resultados apresentados relacionados à descontinuação do tratamento, baseados nos estudos clínicos, somente metade dos pacientes ainda estarão utilizando o </w:t>
            </w:r>
            <w:proofErr w:type="spellStart"/>
            <w:r>
              <w:t>anifrolumabe</w:t>
            </w:r>
            <w:proofErr w:type="spellEnd"/>
            <w:r>
              <w:t xml:space="preserve"> ao final do primeiro ano. Ao final do segundo ano seriam somente 6,7% dos pacientes. Portanto, a estratégia de redução do impacto orçamentário pela adoção de regras de descontinuação, com interrupção do tratamento com </w:t>
            </w:r>
            <w:proofErr w:type="spellStart"/>
            <w:r>
              <w:t>anifrolumabe</w:t>
            </w:r>
            <w:proofErr w:type="spellEnd"/>
            <w:r>
              <w:t xml:space="preserve"> em pacientes com LES que não atingirem o estado de baixa atividade da doença após 24 semanas, provavelmente aconteceria de forma natural.</w:t>
            </w:r>
          </w:p>
        </w:tc>
      </w:tr>
    </w:tbl>
    <w:p w14:paraId="15342E60" w14:textId="77777777" w:rsidR="00817793" w:rsidRDefault="00817793"/>
    <w:p w14:paraId="5EB89DE8" w14:textId="77777777" w:rsidR="00817793" w:rsidRDefault="00817793">
      <w:pPr>
        <w:rPr>
          <w:highlight w:val="yellow"/>
        </w:rPr>
      </w:pPr>
    </w:p>
    <w:tbl>
      <w:tblPr>
        <w:tblStyle w:val="afffb"/>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72"/>
      </w:tblGrid>
      <w:tr w:rsidR="00817793" w14:paraId="20FF9A82" w14:textId="77777777">
        <w:trPr>
          <w:trHeight w:val="416"/>
        </w:trPr>
        <w:tc>
          <w:tcPr>
            <w:tcW w:w="9072" w:type="dxa"/>
            <w:shd w:val="clear" w:color="auto" w:fill="D9E2F3"/>
            <w:vAlign w:val="center"/>
          </w:tcPr>
          <w:p w14:paraId="0CB9BE5F" w14:textId="77777777" w:rsidR="00817793" w:rsidRDefault="002719FC">
            <w:pPr>
              <w:spacing w:before="120" w:after="120"/>
              <w:jc w:val="center"/>
              <w:rPr>
                <w:b/>
              </w:rPr>
            </w:pPr>
            <w:r>
              <w:rPr>
                <w:b/>
              </w:rPr>
              <w:t>Comentários adicionais sobre a discussão e as conclusões apresentadas pelo PROPONENTE</w:t>
            </w:r>
          </w:p>
        </w:tc>
      </w:tr>
      <w:tr w:rsidR="00817793" w14:paraId="48952BF2" w14:textId="77777777">
        <w:trPr>
          <w:trHeight w:val="750"/>
        </w:trPr>
        <w:tc>
          <w:tcPr>
            <w:tcW w:w="9072" w:type="dxa"/>
            <w:vAlign w:val="center"/>
          </w:tcPr>
          <w:p w14:paraId="0EF7422A" w14:textId="77777777" w:rsidR="00817793" w:rsidRDefault="002719FC">
            <w:pPr>
              <w:spacing w:before="120" w:after="120" w:line="240" w:lineRule="auto"/>
            </w:pPr>
            <w:r>
              <w:t>Restam incertezas sobre as estimativas do tamanho da população alvo e a taxa de adoção futura da nova tecnologia, visto ser uma alternativa terapêutica que, mesmo com os critérios estabelecidos na DUT, pode ocorrer "prescrição por disponibilidade", visto que nos estudos um percentual importante dos pacientes não estava com terapia otimizada (tripla).</w:t>
            </w:r>
          </w:p>
        </w:tc>
      </w:tr>
    </w:tbl>
    <w:p w14:paraId="7D62D461" w14:textId="77777777" w:rsidR="00817793" w:rsidRDefault="00817793"/>
    <w:p w14:paraId="078B034E" w14:textId="77777777" w:rsidR="00817793" w:rsidRDefault="00817793">
      <w:pPr>
        <w:rPr>
          <w:highlight w:val="yellow"/>
        </w:rPr>
      </w:pPr>
    </w:p>
    <w:p w14:paraId="32492CF8" w14:textId="77777777" w:rsidR="00817793" w:rsidRDefault="002719FC">
      <w:pPr>
        <w:pStyle w:val="Ttulo2"/>
      </w:pPr>
      <w:bookmarkStart w:id="77" w:name="_2grqrue" w:colFirst="0" w:colLast="0"/>
      <w:bookmarkEnd w:id="77"/>
      <w:r>
        <w:lastRenderedPageBreak/>
        <w:t>7.4 Elementos pós-texto</w:t>
      </w:r>
    </w:p>
    <w:p w14:paraId="78B837D5" w14:textId="77777777" w:rsidR="00817793" w:rsidRDefault="002719FC">
      <w:pPr>
        <w:pStyle w:val="Ttulo4"/>
      </w:pPr>
      <w:bookmarkStart w:id="78" w:name="_r7dcz8auo954" w:colFirst="0" w:colLast="0"/>
      <w:bookmarkEnd w:id="78"/>
      <w:r>
        <w:rPr>
          <w:b/>
        </w:rPr>
        <w:t xml:space="preserve">Quadro 35. </w:t>
      </w:r>
      <w:r>
        <w:t>Elementos pós-texto</w:t>
      </w:r>
    </w:p>
    <w:tbl>
      <w:tblPr>
        <w:tblStyle w:val="afffc"/>
        <w:tblW w:w="89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46"/>
        <w:gridCol w:w="2976"/>
        <w:gridCol w:w="3885"/>
      </w:tblGrid>
      <w:tr w:rsidR="00817793" w14:paraId="38E76674" w14:textId="77777777">
        <w:trPr>
          <w:trHeight w:val="454"/>
          <w:jc w:val="center"/>
        </w:trPr>
        <w:tc>
          <w:tcPr>
            <w:tcW w:w="2046" w:type="dxa"/>
            <w:shd w:val="clear" w:color="auto" w:fill="D9E2F3"/>
          </w:tcPr>
          <w:p w14:paraId="35EF619D" w14:textId="77777777" w:rsidR="00817793" w:rsidRDefault="002719FC">
            <w:pPr>
              <w:spacing w:before="120" w:after="120" w:line="240" w:lineRule="auto"/>
              <w:jc w:val="center"/>
              <w:rPr>
                <w:b/>
              </w:rPr>
            </w:pPr>
            <w:r>
              <w:rPr>
                <w:b/>
              </w:rPr>
              <w:t>Critério</w:t>
            </w:r>
          </w:p>
        </w:tc>
        <w:tc>
          <w:tcPr>
            <w:tcW w:w="2976" w:type="dxa"/>
            <w:shd w:val="clear" w:color="auto" w:fill="D9E2F3"/>
          </w:tcPr>
          <w:p w14:paraId="5619EA80" w14:textId="77777777" w:rsidR="00817793" w:rsidRDefault="002719FC">
            <w:pPr>
              <w:spacing w:before="120" w:after="120" w:line="240" w:lineRule="auto"/>
              <w:jc w:val="center"/>
              <w:rPr>
                <w:b/>
              </w:rPr>
            </w:pPr>
            <w:r>
              <w:rPr>
                <w:b/>
              </w:rPr>
              <w:t>Proponente</w:t>
            </w:r>
          </w:p>
        </w:tc>
        <w:tc>
          <w:tcPr>
            <w:tcW w:w="3885" w:type="dxa"/>
            <w:shd w:val="clear" w:color="auto" w:fill="D9E2F3"/>
          </w:tcPr>
          <w:p w14:paraId="1351079A" w14:textId="77777777" w:rsidR="00817793" w:rsidRDefault="002719FC">
            <w:pPr>
              <w:spacing w:before="120" w:after="120" w:line="240" w:lineRule="auto"/>
              <w:jc w:val="center"/>
              <w:rPr>
                <w:b/>
              </w:rPr>
            </w:pPr>
            <w:r>
              <w:rPr>
                <w:b/>
              </w:rPr>
              <w:t>Análise da proposta</w:t>
            </w:r>
          </w:p>
        </w:tc>
      </w:tr>
      <w:tr w:rsidR="00817793" w14:paraId="04DC5A13" w14:textId="77777777">
        <w:trPr>
          <w:trHeight w:val="454"/>
          <w:jc w:val="center"/>
        </w:trPr>
        <w:tc>
          <w:tcPr>
            <w:tcW w:w="2046" w:type="dxa"/>
            <w:shd w:val="clear" w:color="auto" w:fill="auto"/>
          </w:tcPr>
          <w:p w14:paraId="2118FE74" w14:textId="77777777" w:rsidR="00817793" w:rsidRDefault="002719FC">
            <w:pPr>
              <w:spacing w:before="120" w:after="120" w:line="240" w:lineRule="auto"/>
              <w:jc w:val="center"/>
              <w:rPr>
                <w:b/>
              </w:rPr>
            </w:pPr>
            <w:r>
              <w:rPr>
                <w:b/>
                <w:color w:val="000000"/>
              </w:rPr>
              <w:t>Declaração de conflito de interesse</w:t>
            </w:r>
          </w:p>
        </w:tc>
        <w:tc>
          <w:tcPr>
            <w:tcW w:w="2976" w:type="dxa"/>
            <w:shd w:val="clear" w:color="auto" w:fill="auto"/>
          </w:tcPr>
          <w:p w14:paraId="5802F41E" w14:textId="77777777" w:rsidR="00817793" w:rsidRDefault="002719FC">
            <w:pPr>
              <w:spacing w:before="120" w:after="120" w:line="240" w:lineRule="auto"/>
              <w:jc w:val="center"/>
            </w:pPr>
            <w:r>
              <w:t>Não se aplica</w:t>
            </w:r>
          </w:p>
        </w:tc>
        <w:tc>
          <w:tcPr>
            <w:tcW w:w="3885" w:type="dxa"/>
          </w:tcPr>
          <w:p w14:paraId="2C58CA5B" w14:textId="77777777" w:rsidR="00817793" w:rsidRDefault="002719FC">
            <w:pPr>
              <w:spacing w:before="120" w:after="120" w:line="240" w:lineRule="auto"/>
              <w:jc w:val="center"/>
              <w:rPr>
                <w:i/>
              </w:rPr>
            </w:pPr>
            <w:r>
              <w:t>A declaração de conflitos de interesse é objeto de análise pela ANS devido à proteção de dados confidenciais. O PARECERISTA não teve acesso ao documento.</w:t>
            </w:r>
          </w:p>
        </w:tc>
      </w:tr>
      <w:tr w:rsidR="00817793" w14:paraId="7B121FDA" w14:textId="77777777">
        <w:trPr>
          <w:trHeight w:val="454"/>
          <w:jc w:val="center"/>
        </w:trPr>
        <w:tc>
          <w:tcPr>
            <w:tcW w:w="2046" w:type="dxa"/>
            <w:shd w:val="clear" w:color="auto" w:fill="auto"/>
          </w:tcPr>
          <w:p w14:paraId="75D442DE" w14:textId="77777777" w:rsidR="00817793" w:rsidRDefault="002719FC">
            <w:pPr>
              <w:spacing w:before="120" w:after="120" w:line="240" w:lineRule="auto"/>
              <w:jc w:val="center"/>
              <w:rPr>
                <w:b/>
              </w:rPr>
            </w:pPr>
            <w:r>
              <w:rPr>
                <w:b/>
                <w:color w:val="000000"/>
              </w:rPr>
              <w:t>Referências</w:t>
            </w:r>
          </w:p>
        </w:tc>
        <w:tc>
          <w:tcPr>
            <w:tcW w:w="2976" w:type="dxa"/>
            <w:shd w:val="clear" w:color="auto" w:fill="auto"/>
          </w:tcPr>
          <w:p w14:paraId="2EEDA7EB" w14:textId="77777777" w:rsidR="00817793" w:rsidRDefault="002719FC">
            <w:pPr>
              <w:pBdr>
                <w:top w:val="nil"/>
                <w:left w:val="nil"/>
                <w:bottom w:val="nil"/>
                <w:right w:val="nil"/>
                <w:between w:val="nil"/>
              </w:pBdr>
              <w:spacing w:before="120" w:after="120" w:line="240" w:lineRule="auto"/>
              <w:jc w:val="center"/>
            </w:pPr>
            <w:r>
              <w:t>Adequadas</w:t>
            </w:r>
          </w:p>
        </w:tc>
        <w:tc>
          <w:tcPr>
            <w:tcW w:w="3885" w:type="dxa"/>
          </w:tcPr>
          <w:p w14:paraId="04784A01" w14:textId="77777777" w:rsidR="00817793" w:rsidRDefault="002719FC">
            <w:pPr>
              <w:pBdr>
                <w:top w:val="nil"/>
                <w:left w:val="nil"/>
                <w:bottom w:val="nil"/>
                <w:right w:val="nil"/>
                <w:between w:val="nil"/>
              </w:pBdr>
              <w:spacing w:before="120" w:after="120" w:line="240" w:lineRule="auto"/>
              <w:jc w:val="center"/>
            </w:pPr>
            <w:r>
              <w:t>Referências citadas e apresentadas de forma adequada</w:t>
            </w:r>
          </w:p>
        </w:tc>
      </w:tr>
    </w:tbl>
    <w:p w14:paraId="492506DD" w14:textId="77777777" w:rsidR="00817793" w:rsidRDefault="00817793"/>
    <w:p w14:paraId="2F32CBD0" w14:textId="77777777" w:rsidR="00817793" w:rsidRDefault="002719FC">
      <w:r>
        <w:t xml:space="preserve">O </w:t>
      </w:r>
      <w:r>
        <w:rPr>
          <w:i/>
        </w:rPr>
        <w:t xml:space="preserve">checklist </w:t>
      </w:r>
      <w:r>
        <w:t xml:space="preserve">de análise crítica da AIO da tecnologia em saúde correspondente e utilizado no processo de atualização do Rol está apresentado no </w:t>
      </w:r>
      <w:r>
        <w:rPr>
          <w:b/>
        </w:rPr>
        <w:t>Anexo 2</w:t>
      </w:r>
      <w:r>
        <w:t xml:space="preserve">. A planilha de impacto orçamentário elaborada pelo PARECERISTA está disponível no </w:t>
      </w:r>
      <w:r>
        <w:rPr>
          <w:b/>
        </w:rPr>
        <w:t>Anexo 3</w:t>
      </w:r>
      <w:r>
        <w:t>.</w:t>
      </w:r>
    </w:p>
    <w:p w14:paraId="393A437E" w14:textId="77777777" w:rsidR="00962048" w:rsidRDefault="00962048"/>
    <w:p w14:paraId="76C669FB" w14:textId="77777777" w:rsidR="00817793" w:rsidRDefault="002719FC">
      <w:pPr>
        <w:pStyle w:val="Ttulo1"/>
      </w:pPr>
      <w:bookmarkStart w:id="79" w:name="_vx1227" w:colFirst="0" w:colLast="0"/>
      <w:bookmarkEnd w:id="79"/>
      <w:r>
        <w:t>8. CONSIDERAÇÕES FINAIS</w:t>
      </w:r>
    </w:p>
    <w:p w14:paraId="31CD0C16" w14:textId="77777777" w:rsidR="00817793" w:rsidRDefault="00817793">
      <w:pPr>
        <w:pStyle w:val="Ttulo2"/>
      </w:pPr>
      <w:bookmarkStart w:id="80" w:name="_c6gpcdlbrphw" w:colFirst="0" w:colLast="0"/>
      <w:bookmarkEnd w:id="80"/>
    </w:p>
    <w:p w14:paraId="6E12BE0A" w14:textId="77777777" w:rsidR="00817793" w:rsidRDefault="002719FC">
      <w:pPr>
        <w:pStyle w:val="Ttulo2"/>
      </w:pPr>
      <w:bookmarkStart w:id="81" w:name="_3fwokq0" w:colFirst="0" w:colLast="0"/>
      <w:bookmarkEnd w:id="81"/>
      <w:r>
        <w:t>8.1 Avaliação por outras agências de ATS</w:t>
      </w:r>
    </w:p>
    <w:p w14:paraId="1E135149" w14:textId="77777777" w:rsidR="00817793" w:rsidRDefault="002719FC">
      <w:pPr>
        <w:pStyle w:val="Ttulo4"/>
      </w:pPr>
      <w:bookmarkStart w:id="82" w:name="_3uwv8lxhkfcw" w:colFirst="0" w:colLast="0"/>
      <w:bookmarkEnd w:id="82"/>
      <w:r>
        <w:rPr>
          <w:b/>
        </w:rPr>
        <w:t>Quadro 36.</w:t>
      </w:r>
      <w:r>
        <w:t xml:space="preserve"> Avaliação de outras agências de ATS</w:t>
      </w:r>
    </w:p>
    <w:tbl>
      <w:tblPr>
        <w:tblW w:w="89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2190"/>
        <w:gridCol w:w="3420"/>
        <w:gridCol w:w="3300"/>
      </w:tblGrid>
      <w:tr w:rsidR="00817793" w14:paraId="0BFAEB3A" w14:textId="77777777">
        <w:trPr>
          <w:trHeight w:val="454"/>
          <w:jc w:val="center"/>
        </w:trPr>
        <w:tc>
          <w:tcPr>
            <w:tcW w:w="2190" w:type="dxa"/>
            <w:shd w:val="clear" w:color="auto" w:fill="D9E2F3"/>
            <w:vAlign w:val="center"/>
          </w:tcPr>
          <w:p w14:paraId="0AF8D9A5" w14:textId="77777777" w:rsidR="00817793" w:rsidRDefault="002719FC">
            <w:pPr>
              <w:spacing w:before="120" w:after="120" w:line="240" w:lineRule="auto"/>
              <w:jc w:val="center"/>
              <w:rPr>
                <w:b/>
              </w:rPr>
            </w:pPr>
            <w:r>
              <w:rPr>
                <w:b/>
              </w:rPr>
              <w:t>Agência</w:t>
            </w:r>
          </w:p>
        </w:tc>
        <w:tc>
          <w:tcPr>
            <w:tcW w:w="3420" w:type="dxa"/>
            <w:shd w:val="clear" w:color="auto" w:fill="D9E2F3"/>
            <w:vAlign w:val="center"/>
          </w:tcPr>
          <w:p w14:paraId="34C56BEB" w14:textId="77777777" w:rsidR="00817793" w:rsidRDefault="002719FC">
            <w:pPr>
              <w:spacing w:before="120" w:after="120" w:line="240" w:lineRule="auto"/>
              <w:jc w:val="center"/>
              <w:rPr>
                <w:b/>
              </w:rPr>
            </w:pPr>
            <w:r>
              <w:rPr>
                <w:b/>
              </w:rPr>
              <w:t>Proponente</w:t>
            </w:r>
          </w:p>
        </w:tc>
        <w:tc>
          <w:tcPr>
            <w:tcW w:w="3300" w:type="dxa"/>
            <w:shd w:val="clear" w:color="auto" w:fill="D9E2F3"/>
            <w:vAlign w:val="center"/>
          </w:tcPr>
          <w:p w14:paraId="5B9053EB" w14:textId="77777777" w:rsidR="00817793" w:rsidRDefault="002719FC">
            <w:pPr>
              <w:spacing w:before="120" w:after="120" w:line="240" w:lineRule="auto"/>
              <w:jc w:val="center"/>
              <w:rPr>
                <w:b/>
              </w:rPr>
            </w:pPr>
            <w:r>
              <w:rPr>
                <w:b/>
              </w:rPr>
              <w:t>Parecerista</w:t>
            </w:r>
          </w:p>
        </w:tc>
      </w:tr>
      <w:tr w:rsidR="00817793" w14:paraId="5C4A63C5" w14:textId="77777777">
        <w:trPr>
          <w:trHeight w:val="454"/>
          <w:jc w:val="center"/>
        </w:trPr>
        <w:tc>
          <w:tcPr>
            <w:tcW w:w="2190" w:type="dxa"/>
            <w:shd w:val="clear" w:color="auto" w:fill="auto"/>
            <w:vAlign w:val="center"/>
          </w:tcPr>
          <w:p w14:paraId="170C9ED3" w14:textId="77777777" w:rsidR="00817793" w:rsidRDefault="002719FC">
            <w:pPr>
              <w:spacing w:before="120" w:after="120" w:line="240" w:lineRule="auto"/>
              <w:jc w:val="center"/>
              <w:rPr>
                <w:b/>
                <w:color w:val="000000"/>
              </w:rPr>
            </w:pPr>
            <w:r>
              <w:rPr>
                <w:b/>
                <w:color w:val="231F20"/>
                <w:highlight w:val="white"/>
              </w:rPr>
              <w:t>CDA</w:t>
            </w:r>
            <w:r>
              <w:rPr>
                <w:b/>
                <w:color w:val="000000"/>
              </w:rPr>
              <w:t>, Canadá</w:t>
            </w:r>
          </w:p>
          <w:p w14:paraId="63F89B88" w14:textId="77777777" w:rsidR="00817793" w:rsidRDefault="002719FC">
            <w:pPr>
              <w:spacing w:before="120" w:after="120" w:line="240" w:lineRule="auto"/>
              <w:jc w:val="center"/>
              <w:rPr>
                <w:b/>
              </w:rPr>
            </w:pPr>
            <w:hyperlink r:id="rId25">
              <w:r>
                <w:rPr>
                  <w:color w:val="1155CC"/>
                  <w:u w:val="single"/>
                </w:rPr>
                <w:t>http://www.cadth.ca</w:t>
              </w:r>
            </w:hyperlink>
          </w:p>
        </w:tc>
        <w:tc>
          <w:tcPr>
            <w:tcW w:w="3420" w:type="dxa"/>
            <w:shd w:val="clear" w:color="auto" w:fill="auto"/>
            <w:vAlign w:val="center"/>
          </w:tcPr>
          <w:p w14:paraId="2E80E1B2" w14:textId="77777777" w:rsidR="00817793" w:rsidRDefault="002719FC">
            <w:pPr>
              <w:spacing w:before="120" w:after="120" w:line="240" w:lineRule="auto"/>
              <w:jc w:val="center"/>
            </w:pPr>
            <w:r>
              <w:t xml:space="preserve">No Canadá, o </w:t>
            </w:r>
            <w:r w:rsidRPr="00962048">
              <w:rPr>
                <w:i/>
                <w:iCs/>
              </w:rPr>
              <w:t xml:space="preserve">Canadian </w:t>
            </w:r>
            <w:proofErr w:type="spellStart"/>
            <w:r w:rsidRPr="00962048">
              <w:rPr>
                <w:i/>
                <w:iCs/>
              </w:rPr>
              <w:t>Agency</w:t>
            </w:r>
            <w:proofErr w:type="spellEnd"/>
            <w:r w:rsidRPr="00962048">
              <w:rPr>
                <w:i/>
                <w:iCs/>
              </w:rPr>
              <w:t xml:space="preserve"> for </w:t>
            </w:r>
            <w:proofErr w:type="spellStart"/>
            <w:r w:rsidRPr="00962048">
              <w:rPr>
                <w:i/>
                <w:iCs/>
              </w:rPr>
              <w:t>Drugs</w:t>
            </w:r>
            <w:proofErr w:type="spellEnd"/>
            <w:r w:rsidRPr="00962048">
              <w:rPr>
                <w:i/>
                <w:iCs/>
              </w:rPr>
              <w:t xml:space="preserve"> </w:t>
            </w:r>
            <w:proofErr w:type="spellStart"/>
            <w:r w:rsidRPr="00962048">
              <w:rPr>
                <w:i/>
                <w:iCs/>
              </w:rPr>
              <w:t>and</w:t>
            </w:r>
            <w:proofErr w:type="spellEnd"/>
            <w:r w:rsidRPr="00962048">
              <w:rPr>
                <w:i/>
                <w:iCs/>
              </w:rPr>
              <w:t xml:space="preserve"> Technologies in Health</w:t>
            </w:r>
            <w:r>
              <w:t xml:space="preserve"> (CADTH) aprovou o medicamento para pacientes adultos com LES com atividade da doença moderada a severa (SLEDAI-2K ≥ 6), que não conseguiram controlar a doença com o uso de corticosteroides orais em doses iguais ou superiores a 10 mg/dia de prednisona (ou equivalente), em </w:t>
            </w:r>
            <w:r>
              <w:lastRenderedPageBreak/>
              <w:t>combinação com o tratamento padrão.</w:t>
            </w:r>
          </w:p>
        </w:tc>
        <w:tc>
          <w:tcPr>
            <w:tcW w:w="3300" w:type="dxa"/>
            <w:vAlign w:val="center"/>
          </w:tcPr>
          <w:p w14:paraId="55FD5BBA" w14:textId="77777777" w:rsidR="00817793" w:rsidRDefault="002719FC">
            <w:pPr>
              <w:spacing w:before="120" w:after="120" w:line="240" w:lineRule="auto"/>
            </w:pPr>
            <w:r>
              <w:lastRenderedPageBreak/>
              <w:t xml:space="preserve">Aprovou o reembolso do </w:t>
            </w:r>
            <w:proofErr w:type="spellStart"/>
            <w:r>
              <w:t>anifrolumabe</w:t>
            </w:r>
            <w:proofErr w:type="spellEnd"/>
            <w:r>
              <w:t xml:space="preserve"> como complemento à terapia padrão para o tratamento de pacientes adultos com lúpus eritematoso sistêmico (LES) ativo e positivo para autoanticorpos.</w:t>
            </w:r>
          </w:p>
          <w:p w14:paraId="23A961F1" w14:textId="77777777" w:rsidR="00817793" w:rsidRDefault="002719FC">
            <w:pPr>
              <w:spacing w:before="120" w:after="120" w:line="240" w:lineRule="auto"/>
            </w:pPr>
            <w:r>
              <w:t xml:space="preserve">O reembolso deve ocorrer em pacientes adultos com lúpus </w:t>
            </w:r>
            <w:r>
              <w:lastRenderedPageBreak/>
              <w:t>eritematoso sistêmico (LES) moderado a grave, definido por:</w:t>
            </w:r>
          </w:p>
          <w:p w14:paraId="1A74F201" w14:textId="77777777" w:rsidR="00817793" w:rsidRDefault="002719FC">
            <w:pPr>
              <w:spacing w:before="120" w:after="120" w:line="240" w:lineRule="auto"/>
            </w:pPr>
            <w:r>
              <w:t>SLEDAI-2K (pontuação ≥ 6).</w:t>
            </w:r>
          </w:p>
          <w:p w14:paraId="28CDCBA2" w14:textId="77777777" w:rsidR="00817793" w:rsidRDefault="002719FC">
            <w:pPr>
              <w:spacing w:before="120" w:after="120" w:line="240" w:lineRule="auto"/>
            </w:pPr>
            <w:r>
              <w:t>Incapacidade de controlar a doença com OCS ≥ 10 mg/dia de prednisona (ou equivalente), além do tratamento padrão.</w:t>
            </w:r>
          </w:p>
          <w:p w14:paraId="67570598" w14:textId="77777777" w:rsidR="00817793" w:rsidRDefault="002719FC">
            <w:pPr>
              <w:spacing w:before="120" w:after="120" w:line="240" w:lineRule="auto"/>
              <w:rPr>
                <w:u w:val="single"/>
              </w:rPr>
            </w:pPr>
            <w:r>
              <w:rPr>
                <w:u w:val="single"/>
              </w:rPr>
              <w:t>Restrições ao Reembolso</w:t>
            </w:r>
          </w:p>
          <w:p w14:paraId="7FD8715F" w14:textId="77777777" w:rsidR="00817793" w:rsidRDefault="00817793">
            <w:pPr>
              <w:spacing w:before="120" w:after="120" w:line="240" w:lineRule="auto"/>
            </w:pPr>
          </w:p>
          <w:p w14:paraId="357D81E0" w14:textId="77777777" w:rsidR="00817793" w:rsidRDefault="002719FC">
            <w:pPr>
              <w:spacing w:before="120" w:after="120" w:line="240" w:lineRule="auto"/>
            </w:pPr>
            <w:r>
              <w:t xml:space="preserve">O </w:t>
            </w:r>
            <w:proofErr w:type="spellStart"/>
            <w:r>
              <w:t>anifrolumabe</w:t>
            </w:r>
            <w:proofErr w:type="spellEnd"/>
            <w:r>
              <w:t xml:space="preserve"> não deve ser reembolsado em pacientes com: LES neuropsiquiátrico grave ou instável e Nefrite </w:t>
            </w:r>
            <w:proofErr w:type="spellStart"/>
            <w:r>
              <w:t>lúpica</w:t>
            </w:r>
            <w:proofErr w:type="spellEnd"/>
            <w:r>
              <w:t xml:space="preserve"> ativa grave. Razão: Não há evidências de eficácia do </w:t>
            </w:r>
            <w:proofErr w:type="spellStart"/>
            <w:r>
              <w:t>anifrolumabe</w:t>
            </w:r>
            <w:proofErr w:type="spellEnd"/>
            <w:r>
              <w:t xml:space="preserve"> nestes casos.</w:t>
            </w:r>
          </w:p>
          <w:p w14:paraId="30BD2D64" w14:textId="77777777" w:rsidR="00817793" w:rsidRDefault="002719FC">
            <w:pPr>
              <w:spacing w:before="120" w:after="120" w:line="240" w:lineRule="auto"/>
              <w:rPr>
                <w:u w:val="single"/>
              </w:rPr>
            </w:pPr>
            <w:r>
              <w:rPr>
                <w:u w:val="single"/>
              </w:rPr>
              <w:t>Redução de Preço:</w:t>
            </w:r>
          </w:p>
          <w:p w14:paraId="49C02CD4" w14:textId="77777777" w:rsidR="00817793" w:rsidRDefault="002719FC">
            <w:pPr>
              <w:spacing w:before="120" w:after="120" w:line="240" w:lineRule="auto"/>
            </w:pPr>
            <w:r>
              <w:t xml:space="preserve">O ICER (custo-efetividade incremental) do </w:t>
            </w:r>
            <w:proofErr w:type="spellStart"/>
            <w:r>
              <w:t>anifrolumabe</w:t>
            </w:r>
            <w:proofErr w:type="spellEnd"/>
            <w:r>
              <w:t xml:space="preserve"> combinado com o melhor cuidado de suporte (BSC) é de $181.709 por QALY (ano de vida ajustado pela qualidade).</w:t>
            </w:r>
          </w:p>
          <w:p w14:paraId="3E978D47" w14:textId="77777777" w:rsidR="00817793" w:rsidRDefault="002719FC">
            <w:pPr>
              <w:spacing w:before="120" w:after="120" w:line="240" w:lineRule="auto"/>
            </w:pPr>
            <w:r>
              <w:t>Para atingir um ICER de $50.000 por QALY, seria necessária uma redução de preço de pelo menos 74%.</w:t>
            </w:r>
          </w:p>
          <w:p w14:paraId="03D561B6" w14:textId="77777777" w:rsidR="00817793" w:rsidRDefault="002719FC">
            <w:pPr>
              <w:spacing w:before="120" w:after="120" w:line="240" w:lineRule="auto"/>
            </w:pPr>
            <w:r>
              <w:t>Razão: Alto custo do medicamento em relação ao benefício clínico.</w:t>
            </w:r>
          </w:p>
        </w:tc>
      </w:tr>
      <w:tr w:rsidR="00817793" w14:paraId="36E85712" w14:textId="77777777">
        <w:trPr>
          <w:trHeight w:val="454"/>
          <w:jc w:val="center"/>
        </w:trPr>
        <w:tc>
          <w:tcPr>
            <w:tcW w:w="2190" w:type="dxa"/>
            <w:shd w:val="clear" w:color="auto" w:fill="auto"/>
            <w:vAlign w:val="center"/>
          </w:tcPr>
          <w:p w14:paraId="3B9D4652" w14:textId="77777777" w:rsidR="00817793" w:rsidRDefault="002719FC">
            <w:pPr>
              <w:spacing w:before="120" w:after="120" w:line="240" w:lineRule="auto"/>
              <w:jc w:val="center"/>
              <w:rPr>
                <w:b/>
                <w:color w:val="000000"/>
              </w:rPr>
            </w:pPr>
            <w:proofErr w:type="spellStart"/>
            <w:r>
              <w:rPr>
                <w:b/>
                <w:color w:val="000000"/>
              </w:rPr>
              <w:t>Conitec</w:t>
            </w:r>
            <w:proofErr w:type="spellEnd"/>
            <w:r>
              <w:rPr>
                <w:b/>
                <w:color w:val="000000"/>
              </w:rPr>
              <w:t>, Brasil</w:t>
            </w:r>
          </w:p>
          <w:p w14:paraId="78E7619E" w14:textId="77777777" w:rsidR="00817793" w:rsidRDefault="002719FC">
            <w:pPr>
              <w:spacing w:before="120" w:after="120" w:line="240" w:lineRule="auto"/>
              <w:jc w:val="center"/>
              <w:rPr>
                <w:color w:val="000000"/>
              </w:rPr>
            </w:pPr>
            <w:hyperlink r:id="rId26">
              <w:r>
                <w:rPr>
                  <w:color w:val="0563C1"/>
                  <w:u w:val="single"/>
                </w:rPr>
                <w:t>http://conitec.gov.br</w:t>
              </w:r>
            </w:hyperlink>
          </w:p>
        </w:tc>
        <w:tc>
          <w:tcPr>
            <w:tcW w:w="3420" w:type="dxa"/>
            <w:shd w:val="clear" w:color="auto" w:fill="auto"/>
            <w:vAlign w:val="center"/>
          </w:tcPr>
          <w:p w14:paraId="2882E4EA" w14:textId="77777777" w:rsidR="00817793" w:rsidRDefault="002719FC">
            <w:pPr>
              <w:spacing w:before="120" w:after="120" w:line="240" w:lineRule="auto"/>
              <w:jc w:val="center"/>
            </w:pPr>
            <w:r>
              <w:t>Não apresentado</w:t>
            </w:r>
          </w:p>
        </w:tc>
        <w:tc>
          <w:tcPr>
            <w:tcW w:w="3300" w:type="dxa"/>
            <w:vAlign w:val="center"/>
          </w:tcPr>
          <w:p w14:paraId="686FE290" w14:textId="77777777" w:rsidR="00817793" w:rsidRDefault="002719FC">
            <w:pPr>
              <w:spacing w:before="120" w:after="120" w:line="240" w:lineRule="auto"/>
              <w:jc w:val="center"/>
              <w:rPr>
                <w:i/>
                <w:color w:val="FF0000"/>
              </w:rPr>
            </w:pPr>
            <w:r>
              <w:t>Não avaliado.</w:t>
            </w:r>
          </w:p>
        </w:tc>
      </w:tr>
      <w:tr w:rsidR="00817793" w14:paraId="6A7CD031" w14:textId="77777777">
        <w:trPr>
          <w:trHeight w:val="454"/>
          <w:jc w:val="center"/>
        </w:trPr>
        <w:tc>
          <w:tcPr>
            <w:tcW w:w="2190" w:type="dxa"/>
            <w:shd w:val="clear" w:color="auto" w:fill="auto"/>
            <w:vAlign w:val="center"/>
          </w:tcPr>
          <w:p w14:paraId="6D979649" w14:textId="77777777" w:rsidR="00817793" w:rsidRDefault="002719FC">
            <w:pPr>
              <w:spacing w:before="120" w:after="120" w:line="240" w:lineRule="auto"/>
              <w:jc w:val="center"/>
              <w:rPr>
                <w:b/>
                <w:color w:val="000000"/>
              </w:rPr>
            </w:pPr>
            <w:r>
              <w:rPr>
                <w:b/>
                <w:color w:val="000000"/>
              </w:rPr>
              <w:t xml:space="preserve">NICE, Inglaterra </w:t>
            </w:r>
            <w:hyperlink r:id="rId27">
              <w:r>
                <w:rPr>
                  <w:color w:val="0563C1"/>
                  <w:u w:val="single"/>
                </w:rPr>
                <w:t>www.nice.org.uk</w:t>
              </w:r>
            </w:hyperlink>
          </w:p>
        </w:tc>
        <w:tc>
          <w:tcPr>
            <w:tcW w:w="3420" w:type="dxa"/>
            <w:shd w:val="clear" w:color="auto" w:fill="auto"/>
            <w:vAlign w:val="center"/>
          </w:tcPr>
          <w:p w14:paraId="50E0B50F" w14:textId="77777777" w:rsidR="00817793" w:rsidRDefault="002719FC">
            <w:pPr>
              <w:spacing w:before="120" w:after="120" w:line="240" w:lineRule="auto"/>
              <w:jc w:val="center"/>
            </w:pPr>
            <w:r>
              <w:t>Não apresentado</w:t>
            </w:r>
          </w:p>
        </w:tc>
        <w:tc>
          <w:tcPr>
            <w:tcW w:w="3300" w:type="dxa"/>
            <w:vAlign w:val="center"/>
          </w:tcPr>
          <w:p w14:paraId="46076672" w14:textId="77777777" w:rsidR="00817793" w:rsidRDefault="002719FC">
            <w:pPr>
              <w:spacing w:before="120" w:after="120" w:line="240" w:lineRule="auto"/>
              <w:jc w:val="center"/>
              <w:rPr>
                <w:i/>
                <w:color w:val="FF0000"/>
              </w:rPr>
            </w:pPr>
            <w:r>
              <w:t xml:space="preserve">O NICE não pôde fazer uma recomendação sobre o uso no NHS de </w:t>
            </w:r>
            <w:proofErr w:type="spellStart"/>
            <w:r>
              <w:t>anifrolumabe</w:t>
            </w:r>
            <w:proofErr w:type="spellEnd"/>
            <w:r>
              <w:t xml:space="preserve"> para tratar lúpus eritematoso sistêmico positivo para autoanticorpos ativos. Isso ocorre porque a AstraZeneca não fez uma </w:t>
            </w:r>
            <w:r>
              <w:lastRenderedPageBreak/>
              <w:t xml:space="preserve">submissão de evidências para a avaliação. </w:t>
            </w:r>
          </w:p>
        </w:tc>
      </w:tr>
      <w:tr w:rsidR="00817793" w14:paraId="7C14546E" w14:textId="77777777">
        <w:trPr>
          <w:trHeight w:val="454"/>
          <w:jc w:val="center"/>
        </w:trPr>
        <w:tc>
          <w:tcPr>
            <w:tcW w:w="2190" w:type="dxa"/>
            <w:shd w:val="clear" w:color="auto" w:fill="auto"/>
            <w:vAlign w:val="center"/>
          </w:tcPr>
          <w:p w14:paraId="259729C4" w14:textId="77777777" w:rsidR="00817793" w:rsidRDefault="002719FC">
            <w:pPr>
              <w:spacing w:before="120" w:after="120" w:line="240" w:lineRule="auto"/>
              <w:jc w:val="center"/>
              <w:rPr>
                <w:b/>
                <w:color w:val="000000"/>
              </w:rPr>
            </w:pPr>
            <w:r>
              <w:rPr>
                <w:b/>
              </w:rPr>
              <w:t xml:space="preserve">PBS, Austrália </w:t>
            </w:r>
            <w:hyperlink r:id="rId28">
              <w:r>
                <w:rPr>
                  <w:color w:val="0563C1"/>
                  <w:u w:val="single"/>
                </w:rPr>
                <w:t>http://www.pbs.gov.au/pbs/home</w:t>
              </w:r>
            </w:hyperlink>
          </w:p>
        </w:tc>
        <w:tc>
          <w:tcPr>
            <w:tcW w:w="3420" w:type="dxa"/>
            <w:shd w:val="clear" w:color="auto" w:fill="auto"/>
            <w:vAlign w:val="center"/>
          </w:tcPr>
          <w:p w14:paraId="5B8230D1" w14:textId="77777777" w:rsidR="00817793" w:rsidRDefault="002719FC">
            <w:pPr>
              <w:spacing w:before="120" w:after="120" w:line="240" w:lineRule="auto"/>
              <w:jc w:val="center"/>
            </w:pPr>
            <w:r>
              <w:t xml:space="preserve">Na Austrália, o </w:t>
            </w:r>
            <w:r w:rsidRPr="00962048">
              <w:rPr>
                <w:i/>
                <w:iCs/>
              </w:rPr>
              <w:t xml:space="preserve">Pharmaceutical </w:t>
            </w:r>
            <w:proofErr w:type="spellStart"/>
            <w:r w:rsidRPr="00962048">
              <w:rPr>
                <w:i/>
                <w:iCs/>
              </w:rPr>
              <w:t>Benefits</w:t>
            </w:r>
            <w:proofErr w:type="spellEnd"/>
            <w:r w:rsidRPr="00962048">
              <w:rPr>
                <w:i/>
                <w:iCs/>
              </w:rPr>
              <w:t xml:space="preserve"> Advisory </w:t>
            </w:r>
            <w:proofErr w:type="spellStart"/>
            <w:r w:rsidRPr="00962048">
              <w:rPr>
                <w:i/>
                <w:iCs/>
              </w:rPr>
              <w:t>Committee</w:t>
            </w:r>
            <w:proofErr w:type="spellEnd"/>
            <w:r>
              <w:t xml:space="preserve"> (PBAC) [206] aprovou o uso de </w:t>
            </w:r>
            <w:proofErr w:type="spellStart"/>
            <w:r>
              <w:t>anifrolumabe</w:t>
            </w:r>
            <w:proofErr w:type="spellEnd"/>
            <w:r>
              <w:t xml:space="preserve"> para pacientes adultos com LES severo e com atividade moderada a alta da doença (SLEDAI-2K ≥ 10), que não responderam ao tratamento padrão.</w:t>
            </w:r>
          </w:p>
        </w:tc>
        <w:tc>
          <w:tcPr>
            <w:tcW w:w="3300" w:type="dxa"/>
            <w:vAlign w:val="center"/>
          </w:tcPr>
          <w:p w14:paraId="7024ADAB" w14:textId="77777777" w:rsidR="00817793" w:rsidRDefault="002719FC">
            <w:pPr>
              <w:spacing w:before="120" w:after="120" w:line="240" w:lineRule="auto"/>
              <w:jc w:val="center"/>
            </w:pPr>
            <w:r>
              <w:t xml:space="preserve">A PBS recomendou a incorporação, porém com negociação de preço, como será apresentado a seguir. </w:t>
            </w:r>
          </w:p>
          <w:p w14:paraId="4856066D" w14:textId="77777777" w:rsidR="00817793" w:rsidRDefault="002719FC">
            <w:pPr>
              <w:spacing w:before="120" w:after="120" w:line="240" w:lineRule="auto"/>
              <w:jc w:val="center"/>
            </w:pPr>
            <w:r>
              <w:t>A PBS reconheceu a necessidade urgente de novos tratamentos para LES grave, dado o impacto significativo da doença na qualidade de vida dos pacientes e a falta de opções terapêuticas eficazes. A decisão também levou em conta o forte apoio dos consumidores e especialistas clínicos.</w:t>
            </w:r>
          </w:p>
          <w:p w14:paraId="4DABF924" w14:textId="77777777" w:rsidR="00817793" w:rsidRDefault="002719FC">
            <w:pPr>
              <w:spacing w:before="120" w:after="120" w:line="240" w:lineRule="auto"/>
              <w:jc w:val="center"/>
            </w:pPr>
            <w:r>
              <w:t xml:space="preserve">Embora o benefício clínico do </w:t>
            </w:r>
            <w:proofErr w:type="spellStart"/>
            <w:r>
              <w:t>anifrolumabe</w:t>
            </w:r>
            <w:proofErr w:type="spellEnd"/>
            <w:r>
              <w:t xml:space="preserve"> seja modesto e incerto, a PBS considerou que ele atende a uma necessidade clínica importante para pacientes com LES grave e refratário ao tratamento padrão. A recomendação foi feita com base na aceitação de um preço reduzido e na implementação de restrições rigorosas para garantir o uso apropriado.</w:t>
            </w:r>
          </w:p>
        </w:tc>
      </w:tr>
      <w:tr w:rsidR="00817793" w14:paraId="7EFE39E4" w14:textId="77777777">
        <w:trPr>
          <w:trHeight w:val="454"/>
          <w:jc w:val="center"/>
        </w:trPr>
        <w:tc>
          <w:tcPr>
            <w:tcW w:w="2190" w:type="dxa"/>
            <w:shd w:val="clear" w:color="auto" w:fill="auto"/>
            <w:vAlign w:val="center"/>
          </w:tcPr>
          <w:p w14:paraId="0FC5A269" w14:textId="77777777" w:rsidR="00817793" w:rsidRDefault="002719FC">
            <w:pPr>
              <w:spacing w:before="120" w:after="120" w:line="240" w:lineRule="auto"/>
              <w:jc w:val="center"/>
              <w:rPr>
                <w:b/>
              </w:rPr>
            </w:pPr>
            <w:r>
              <w:rPr>
                <w:b/>
              </w:rPr>
              <w:t xml:space="preserve">SMC, Escócia </w:t>
            </w:r>
            <w:hyperlink r:id="rId29">
              <w:r>
                <w:rPr>
                  <w:color w:val="0563C1"/>
                  <w:u w:val="single"/>
                </w:rPr>
                <w:t>https://www.scottishmedicines.org.uk/Home</w:t>
              </w:r>
            </w:hyperlink>
          </w:p>
        </w:tc>
        <w:tc>
          <w:tcPr>
            <w:tcW w:w="3420" w:type="dxa"/>
            <w:shd w:val="clear" w:color="auto" w:fill="auto"/>
            <w:vAlign w:val="center"/>
          </w:tcPr>
          <w:p w14:paraId="3440A62F" w14:textId="77777777" w:rsidR="00817793" w:rsidRDefault="002719FC">
            <w:pPr>
              <w:spacing w:before="120" w:after="120" w:line="240" w:lineRule="auto"/>
              <w:jc w:val="center"/>
            </w:pPr>
            <w:r>
              <w:t>Não apresentado</w:t>
            </w:r>
          </w:p>
        </w:tc>
        <w:tc>
          <w:tcPr>
            <w:tcW w:w="3300" w:type="dxa"/>
            <w:vAlign w:val="center"/>
          </w:tcPr>
          <w:p w14:paraId="1BE46F2D" w14:textId="77777777" w:rsidR="00817793" w:rsidRDefault="002719FC">
            <w:pPr>
              <w:spacing w:before="120" w:after="120" w:line="240" w:lineRule="auto"/>
              <w:jc w:val="center"/>
            </w:pPr>
            <w:r>
              <w:t>Não avaliado</w:t>
            </w:r>
          </w:p>
        </w:tc>
      </w:tr>
      <w:tr w:rsidR="00817793" w14:paraId="64514256" w14:textId="77777777">
        <w:trPr>
          <w:trHeight w:val="454"/>
          <w:jc w:val="center"/>
        </w:trPr>
        <w:tc>
          <w:tcPr>
            <w:tcW w:w="2190" w:type="dxa"/>
            <w:shd w:val="clear" w:color="auto" w:fill="auto"/>
            <w:vAlign w:val="center"/>
          </w:tcPr>
          <w:p w14:paraId="4247A79A" w14:textId="77777777" w:rsidR="00817793" w:rsidRDefault="002719FC">
            <w:pPr>
              <w:spacing w:before="120" w:after="120" w:line="240" w:lineRule="auto"/>
              <w:jc w:val="center"/>
              <w:rPr>
                <w:b/>
              </w:rPr>
            </w:pPr>
            <w:r>
              <w:rPr>
                <w:b/>
              </w:rPr>
              <w:t>HAS, França</w:t>
            </w:r>
          </w:p>
          <w:p w14:paraId="171EC38A" w14:textId="77777777" w:rsidR="00817793" w:rsidRDefault="002719FC">
            <w:pPr>
              <w:spacing w:before="120" w:after="120" w:line="240" w:lineRule="auto"/>
              <w:jc w:val="center"/>
            </w:pPr>
            <w:hyperlink r:id="rId30">
              <w:r>
                <w:rPr>
                  <w:color w:val="1155CC"/>
                  <w:u w:val="single"/>
                </w:rPr>
                <w:t>https://www.has-sante.fr</w:t>
              </w:r>
            </w:hyperlink>
          </w:p>
          <w:p w14:paraId="6BDFDFC2" w14:textId="77777777" w:rsidR="00817793" w:rsidRDefault="00817793">
            <w:pPr>
              <w:spacing w:before="120" w:after="120" w:line="240" w:lineRule="auto"/>
              <w:jc w:val="center"/>
              <w:rPr>
                <w:b/>
              </w:rPr>
            </w:pPr>
          </w:p>
        </w:tc>
        <w:tc>
          <w:tcPr>
            <w:tcW w:w="3420" w:type="dxa"/>
            <w:shd w:val="clear" w:color="auto" w:fill="auto"/>
            <w:vAlign w:val="center"/>
          </w:tcPr>
          <w:p w14:paraId="16513A97" w14:textId="77777777" w:rsidR="00817793" w:rsidRDefault="002719FC">
            <w:pPr>
              <w:spacing w:before="120" w:after="120" w:line="240" w:lineRule="auto"/>
              <w:jc w:val="center"/>
            </w:pPr>
            <w:r>
              <w:t xml:space="preserve">Na França, em 2022, a </w:t>
            </w:r>
            <w:r w:rsidRPr="00962048">
              <w:rPr>
                <w:i/>
                <w:iCs/>
              </w:rPr>
              <w:t xml:space="preserve">Haute </w:t>
            </w:r>
            <w:proofErr w:type="spellStart"/>
            <w:r w:rsidRPr="00962048">
              <w:rPr>
                <w:i/>
                <w:iCs/>
              </w:rPr>
              <w:t>Autorité</w:t>
            </w:r>
            <w:proofErr w:type="spellEnd"/>
            <w:r w:rsidRPr="00962048">
              <w:rPr>
                <w:i/>
                <w:iCs/>
              </w:rPr>
              <w:t xml:space="preserve"> de Santé</w:t>
            </w:r>
            <w:r>
              <w:t xml:space="preserve"> (HAS) aprovou o </w:t>
            </w:r>
            <w:proofErr w:type="spellStart"/>
            <w:r>
              <w:t>anifrolumabe</w:t>
            </w:r>
            <w:proofErr w:type="spellEnd"/>
            <w:r>
              <w:t xml:space="preserve"> para o tratamento de pacientes adultos com LES com atividade moderada a severa da doença, que permanecem sem resposta adequada ao tratamento padrão.</w:t>
            </w:r>
          </w:p>
        </w:tc>
        <w:tc>
          <w:tcPr>
            <w:tcW w:w="3300" w:type="dxa"/>
            <w:vAlign w:val="center"/>
          </w:tcPr>
          <w:p w14:paraId="0786A1F4" w14:textId="77777777" w:rsidR="00817793" w:rsidRDefault="002719FC">
            <w:pPr>
              <w:spacing w:before="120" w:after="120" w:line="240" w:lineRule="auto"/>
              <w:jc w:val="center"/>
            </w:pPr>
            <w:r>
              <w:t xml:space="preserve">A HAS recomendou a incorporação, porém com ajustes na população-alvo e com negociação de preço, como será apresentado a seguir. </w:t>
            </w:r>
          </w:p>
          <w:p w14:paraId="7A7D4592" w14:textId="77777777" w:rsidR="00817793" w:rsidRDefault="002719FC">
            <w:pPr>
              <w:spacing w:before="120" w:after="120" w:line="240" w:lineRule="auto"/>
              <w:jc w:val="center"/>
            </w:pPr>
            <w:r>
              <w:t xml:space="preserve">A HAS concluiu que o </w:t>
            </w:r>
            <w:proofErr w:type="spellStart"/>
            <w:r>
              <w:t>anifrolumabe</w:t>
            </w:r>
            <w:proofErr w:type="spellEnd"/>
            <w:r>
              <w:t xml:space="preserve"> tem um papel limitado no tratamento do LES. Ele foi aprovado para reembolso </w:t>
            </w:r>
            <w:r>
              <w:lastRenderedPageBreak/>
              <w:t xml:space="preserve">apenas como terapia complementar ao tratamento padrão em pacientes com LES moderado a grave, com envolvimento cutâneo significativo, e que não respondem ou não podem usar outras opções terapêuticas (como </w:t>
            </w:r>
            <w:proofErr w:type="spellStart"/>
            <w:r>
              <w:t>belimumabe</w:t>
            </w:r>
            <w:proofErr w:type="spellEnd"/>
            <w:r>
              <w:t xml:space="preserve">). </w:t>
            </w:r>
          </w:p>
          <w:p w14:paraId="49B6BB87" w14:textId="77777777" w:rsidR="00817793" w:rsidRDefault="002719FC">
            <w:pPr>
              <w:spacing w:before="120" w:after="120" w:line="240" w:lineRule="auto"/>
              <w:jc w:val="center"/>
            </w:pPr>
            <w:r>
              <w:t xml:space="preserve">O medicamento não foi aprovado para outras indicações, como casos graves de nefrite </w:t>
            </w:r>
            <w:proofErr w:type="spellStart"/>
            <w:r>
              <w:t>lúpica</w:t>
            </w:r>
            <w:proofErr w:type="spellEnd"/>
            <w:r>
              <w:t xml:space="preserve"> ou lúpus do sistema nervoso central devido à ausência de dados clínicos robustos.</w:t>
            </w:r>
          </w:p>
          <w:p w14:paraId="5100CC12" w14:textId="77777777" w:rsidR="00817793" w:rsidRDefault="002719FC">
            <w:pPr>
              <w:spacing w:before="120" w:after="120" w:line="240" w:lineRule="auto"/>
              <w:jc w:val="center"/>
              <w:rPr>
                <w:u w:val="single"/>
              </w:rPr>
            </w:pPr>
            <w:r>
              <w:rPr>
                <w:u w:val="single"/>
              </w:rPr>
              <w:t>Eficácia Modesta:</w:t>
            </w:r>
          </w:p>
          <w:p w14:paraId="56D4D55D" w14:textId="77777777" w:rsidR="00817793" w:rsidRDefault="002719FC">
            <w:pPr>
              <w:spacing w:before="120" w:after="120" w:line="240" w:lineRule="auto"/>
              <w:jc w:val="center"/>
            </w:pPr>
            <w:r>
              <w:t xml:space="preserve">O </w:t>
            </w:r>
            <w:proofErr w:type="spellStart"/>
            <w:r>
              <w:t>anifrolumabe</w:t>
            </w:r>
            <w:proofErr w:type="spellEnd"/>
            <w:r>
              <w:t xml:space="preserve"> demonstrou eficácia modesta em comparação ao placebo, especialmente em pacientes com envolvimento cutâneo significativo. Essa eficácia foi observada em estudos como:</w:t>
            </w:r>
          </w:p>
          <w:p w14:paraId="1AEBC424" w14:textId="77777777" w:rsidR="00817793" w:rsidRDefault="002719FC">
            <w:pPr>
              <w:spacing w:before="120" w:after="120" w:line="240" w:lineRule="auto"/>
              <w:jc w:val="center"/>
            </w:pPr>
            <w:r>
              <w:t xml:space="preserve">MUSE (Fase </w:t>
            </w:r>
            <w:proofErr w:type="spellStart"/>
            <w:r>
              <w:t>IIb</w:t>
            </w:r>
            <w:proofErr w:type="spellEnd"/>
            <w:r>
              <w:t>): Mostrou benefícios na resposta SRI-4 (medida composta de melhora da doença).</w:t>
            </w:r>
          </w:p>
          <w:p w14:paraId="2192D001" w14:textId="77777777" w:rsidR="00817793" w:rsidRDefault="002719FC">
            <w:pPr>
              <w:spacing w:before="120" w:after="120" w:line="240" w:lineRule="auto"/>
              <w:jc w:val="center"/>
            </w:pPr>
            <w:r>
              <w:t>TULIP-2 (Fase III): Demonstrou benefícios na resposta BICLA (outra medida composta).</w:t>
            </w:r>
          </w:p>
          <w:p w14:paraId="6D2BD6F1" w14:textId="77777777" w:rsidR="00817793" w:rsidRDefault="002719FC">
            <w:pPr>
              <w:spacing w:before="120" w:after="120" w:line="240" w:lineRule="auto"/>
              <w:jc w:val="center"/>
            </w:pPr>
            <w:r>
              <w:t>No entanto, o estudo TULIP-1 (Fase III) não confirmou os mesmos resultados.</w:t>
            </w:r>
          </w:p>
          <w:p w14:paraId="3077402D" w14:textId="77777777" w:rsidR="00817793" w:rsidRDefault="002719FC">
            <w:pPr>
              <w:spacing w:before="120" w:after="120" w:line="240" w:lineRule="auto"/>
              <w:jc w:val="center"/>
              <w:rPr>
                <w:u w:val="single"/>
              </w:rPr>
            </w:pPr>
            <w:r>
              <w:rPr>
                <w:u w:val="single"/>
              </w:rPr>
              <w:t>Falta de Dados em Áreas-Chave:</w:t>
            </w:r>
          </w:p>
          <w:p w14:paraId="7DAA0FE7" w14:textId="77777777" w:rsidR="00817793" w:rsidRDefault="002719FC">
            <w:pPr>
              <w:spacing w:before="120" w:after="120" w:line="240" w:lineRule="auto"/>
              <w:jc w:val="center"/>
            </w:pPr>
            <w:r>
              <w:t>Não houve evidências de impacto significativo em:</w:t>
            </w:r>
          </w:p>
          <w:p w14:paraId="40E3F242" w14:textId="77777777" w:rsidR="00817793" w:rsidRDefault="002719FC">
            <w:pPr>
              <w:spacing w:before="120" w:after="120" w:line="240" w:lineRule="auto"/>
              <w:jc w:val="center"/>
            </w:pPr>
            <w:r>
              <w:t>Envolvimento articular (uma manifestação comum do LES).</w:t>
            </w:r>
          </w:p>
          <w:p w14:paraId="71BA469C" w14:textId="77777777" w:rsidR="00817793" w:rsidRDefault="002719FC">
            <w:pPr>
              <w:spacing w:before="120" w:after="120" w:line="240" w:lineRule="auto"/>
              <w:jc w:val="center"/>
            </w:pPr>
            <w:r>
              <w:t>Frequência de episódios (</w:t>
            </w:r>
            <w:proofErr w:type="spellStart"/>
            <w:r>
              <w:t>flares</w:t>
            </w:r>
            <w:proofErr w:type="spellEnd"/>
            <w:r>
              <w:t>), fadiga e qualidade de vida.</w:t>
            </w:r>
          </w:p>
          <w:p w14:paraId="749C1D1D" w14:textId="77777777" w:rsidR="00817793" w:rsidRDefault="002719FC">
            <w:pPr>
              <w:spacing w:before="120" w:after="120" w:line="240" w:lineRule="auto"/>
              <w:jc w:val="center"/>
            </w:pPr>
            <w:r>
              <w:lastRenderedPageBreak/>
              <w:t>Necessidade médica parcialmente atendida:</w:t>
            </w:r>
          </w:p>
          <w:p w14:paraId="5060AB9E" w14:textId="77777777" w:rsidR="00817793" w:rsidRDefault="002719FC">
            <w:pPr>
              <w:spacing w:before="120" w:after="120" w:line="240" w:lineRule="auto"/>
              <w:jc w:val="center"/>
              <w:rPr>
                <w:u w:val="single"/>
              </w:rPr>
            </w:pPr>
            <w:r>
              <w:rPr>
                <w:u w:val="single"/>
              </w:rPr>
              <w:t>Benefício:</w:t>
            </w:r>
          </w:p>
          <w:p w14:paraId="3C18362C" w14:textId="77777777" w:rsidR="00817793" w:rsidRDefault="002719FC">
            <w:pPr>
              <w:spacing w:before="120" w:after="120" w:line="240" w:lineRule="auto"/>
              <w:jc w:val="center"/>
            </w:pPr>
            <w:r>
              <w:t xml:space="preserve">Apesar de o LES ser uma doença grave e incapacitante, o </w:t>
            </w:r>
            <w:proofErr w:type="spellStart"/>
            <w:r>
              <w:t>antifrolumabe</w:t>
            </w:r>
            <w:proofErr w:type="spellEnd"/>
            <w:r>
              <w:t xml:space="preserve"> oferece apenas um impacto modesto na redução da atividade da doença e na diminuição do uso de corticoides.</w:t>
            </w:r>
          </w:p>
          <w:p w14:paraId="583FD205" w14:textId="77777777" w:rsidR="00817793" w:rsidRDefault="002719FC">
            <w:pPr>
              <w:spacing w:before="120" w:after="120" w:line="240" w:lineRule="auto"/>
              <w:jc w:val="center"/>
            </w:pPr>
            <w:r>
              <w:t>Falta de impacto em aspectos práticos: O medicamento precisa ser administrado por infusão em ambiente hospitalar, o que não melhora a conveniência para os pacientes.</w:t>
            </w:r>
          </w:p>
          <w:p w14:paraId="4A316554" w14:textId="77777777" w:rsidR="00817793" w:rsidRDefault="002719FC">
            <w:pPr>
              <w:spacing w:before="120" w:after="120" w:line="240" w:lineRule="auto"/>
              <w:jc w:val="center"/>
            </w:pPr>
            <w:r>
              <w:t>Falta de dados robustos de longo prazo: Não há evidências suficientes sobre a segurança em longo prazo, incluindo o risco de infecções graves e câncer.</w:t>
            </w:r>
          </w:p>
          <w:p w14:paraId="41F9AE5E" w14:textId="77777777" w:rsidR="00817793" w:rsidRDefault="00817793">
            <w:pPr>
              <w:spacing w:before="120" w:after="120" w:line="240" w:lineRule="auto"/>
              <w:jc w:val="center"/>
            </w:pPr>
          </w:p>
        </w:tc>
      </w:tr>
    </w:tbl>
    <w:p w14:paraId="1DB36FC6" w14:textId="77777777" w:rsidR="00817793" w:rsidRDefault="002719FC">
      <w:pPr>
        <w:spacing w:before="0" w:after="0" w:line="240" w:lineRule="auto"/>
        <w:jc w:val="center"/>
        <w:rPr>
          <w:sz w:val="18"/>
          <w:szCs w:val="18"/>
        </w:rPr>
      </w:pPr>
      <w:r>
        <w:rPr>
          <w:sz w:val="18"/>
          <w:szCs w:val="18"/>
        </w:rPr>
        <w:lastRenderedPageBreak/>
        <w:t xml:space="preserve">CADTH: </w:t>
      </w:r>
      <w:proofErr w:type="spellStart"/>
      <w:r>
        <w:rPr>
          <w:i/>
          <w:sz w:val="18"/>
          <w:szCs w:val="18"/>
        </w:rPr>
        <w:t>Canada’s</w:t>
      </w:r>
      <w:proofErr w:type="spellEnd"/>
      <w:r>
        <w:rPr>
          <w:i/>
          <w:sz w:val="18"/>
          <w:szCs w:val="18"/>
        </w:rPr>
        <w:t xml:space="preserve"> </w:t>
      </w:r>
      <w:proofErr w:type="spellStart"/>
      <w:r>
        <w:rPr>
          <w:i/>
          <w:sz w:val="18"/>
          <w:szCs w:val="18"/>
        </w:rPr>
        <w:t>Drug</w:t>
      </w:r>
      <w:proofErr w:type="spellEnd"/>
      <w:r>
        <w:rPr>
          <w:i/>
          <w:sz w:val="18"/>
          <w:szCs w:val="18"/>
        </w:rPr>
        <w:t xml:space="preserve"> </w:t>
      </w:r>
      <w:proofErr w:type="spellStart"/>
      <w:r>
        <w:rPr>
          <w:i/>
          <w:sz w:val="18"/>
          <w:szCs w:val="18"/>
        </w:rPr>
        <w:t>Agency</w:t>
      </w:r>
      <w:proofErr w:type="spellEnd"/>
      <w:r>
        <w:rPr>
          <w:sz w:val="18"/>
          <w:szCs w:val="18"/>
        </w:rPr>
        <w:t xml:space="preserve">; </w:t>
      </w:r>
      <w:proofErr w:type="spellStart"/>
      <w:r>
        <w:rPr>
          <w:sz w:val="18"/>
          <w:szCs w:val="18"/>
        </w:rPr>
        <w:t>Conitec</w:t>
      </w:r>
      <w:proofErr w:type="spellEnd"/>
      <w:r>
        <w:rPr>
          <w:sz w:val="18"/>
          <w:szCs w:val="18"/>
        </w:rPr>
        <w:t xml:space="preserve">: </w:t>
      </w:r>
      <w:r>
        <w:rPr>
          <w:i/>
          <w:sz w:val="18"/>
          <w:szCs w:val="18"/>
        </w:rPr>
        <w:t xml:space="preserve">Comissão Nacional de Incorporação de Tecnologias no SUS; </w:t>
      </w:r>
      <w:r>
        <w:rPr>
          <w:sz w:val="18"/>
          <w:szCs w:val="18"/>
        </w:rPr>
        <w:t xml:space="preserve">NICE: </w:t>
      </w:r>
      <w:proofErr w:type="spellStart"/>
      <w:r>
        <w:rPr>
          <w:i/>
          <w:sz w:val="18"/>
          <w:szCs w:val="18"/>
        </w:rPr>
        <w:t>National</w:t>
      </w:r>
      <w:proofErr w:type="spellEnd"/>
      <w:r>
        <w:rPr>
          <w:i/>
          <w:sz w:val="18"/>
          <w:szCs w:val="18"/>
        </w:rPr>
        <w:t xml:space="preserve"> </w:t>
      </w:r>
      <w:proofErr w:type="spellStart"/>
      <w:r>
        <w:rPr>
          <w:i/>
          <w:sz w:val="18"/>
          <w:szCs w:val="18"/>
        </w:rPr>
        <w:t>Institute</w:t>
      </w:r>
      <w:proofErr w:type="spellEnd"/>
      <w:r>
        <w:rPr>
          <w:i/>
          <w:sz w:val="18"/>
          <w:szCs w:val="18"/>
        </w:rPr>
        <w:t xml:space="preserve"> for Health </w:t>
      </w:r>
      <w:proofErr w:type="spellStart"/>
      <w:r>
        <w:rPr>
          <w:i/>
          <w:sz w:val="18"/>
          <w:szCs w:val="18"/>
        </w:rPr>
        <w:t>and</w:t>
      </w:r>
      <w:proofErr w:type="spellEnd"/>
      <w:r>
        <w:rPr>
          <w:i/>
          <w:sz w:val="18"/>
          <w:szCs w:val="18"/>
        </w:rPr>
        <w:t xml:space="preserve"> </w:t>
      </w:r>
      <w:proofErr w:type="spellStart"/>
      <w:r>
        <w:rPr>
          <w:i/>
          <w:sz w:val="18"/>
          <w:szCs w:val="18"/>
        </w:rPr>
        <w:t>Care</w:t>
      </w:r>
      <w:proofErr w:type="spellEnd"/>
      <w:r>
        <w:rPr>
          <w:i/>
          <w:sz w:val="18"/>
          <w:szCs w:val="18"/>
        </w:rPr>
        <w:t xml:space="preserve"> </w:t>
      </w:r>
      <w:proofErr w:type="spellStart"/>
      <w:proofErr w:type="gramStart"/>
      <w:r>
        <w:rPr>
          <w:i/>
          <w:sz w:val="18"/>
          <w:szCs w:val="18"/>
        </w:rPr>
        <w:t>Excellence;PBS</w:t>
      </w:r>
      <w:proofErr w:type="spellEnd"/>
      <w:proofErr w:type="gramEnd"/>
      <w:r>
        <w:rPr>
          <w:i/>
          <w:sz w:val="18"/>
          <w:szCs w:val="18"/>
        </w:rPr>
        <w:t xml:space="preserve">: Pharmaceutical </w:t>
      </w:r>
      <w:proofErr w:type="spellStart"/>
      <w:r>
        <w:rPr>
          <w:i/>
          <w:sz w:val="18"/>
          <w:szCs w:val="18"/>
        </w:rPr>
        <w:t>Benefits</w:t>
      </w:r>
      <w:proofErr w:type="spellEnd"/>
      <w:r>
        <w:rPr>
          <w:i/>
          <w:sz w:val="18"/>
          <w:szCs w:val="18"/>
        </w:rPr>
        <w:t xml:space="preserve"> </w:t>
      </w:r>
      <w:proofErr w:type="spellStart"/>
      <w:r>
        <w:rPr>
          <w:i/>
          <w:sz w:val="18"/>
          <w:szCs w:val="18"/>
        </w:rPr>
        <w:t>Scheme</w:t>
      </w:r>
      <w:proofErr w:type="spellEnd"/>
      <w:r>
        <w:rPr>
          <w:i/>
          <w:sz w:val="18"/>
          <w:szCs w:val="18"/>
        </w:rPr>
        <w:t>; SMC: Scottish Medicines Consortium.</w:t>
      </w:r>
    </w:p>
    <w:p w14:paraId="00F03A6D" w14:textId="77777777" w:rsidR="00817793" w:rsidRDefault="00817793">
      <w:bookmarkStart w:id="83" w:name="_1v1yuxt" w:colFirst="0" w:colLast="0"/>
      <w:bookmarkEnd w:id="83"/>
    </w:p>
    <w:p w14:paraId="7D3EF430" w14:textId="77777777" w:rsidR="00817793" w:rsidRDefault="002719FC">
      <w:pPr>
        <w:pStyle w:val="Ttulo2"/>
      </w:pPr>
      <w:bookmarkStart w:id="84" w:name="_4f1mdlm" w:colFirst="0" w:colLast="0"/>
      <w:bookmarkEnd w:id="84"/>
      <w:r>
        <w:t>8.2 Considerações sobre a implementação</w:t>
      </w:r>
    </w:p>
    <w:p w14:paraId="3EDB8BFB" w14:textId="77777777" w:rsidR="00817793" w:rsidRDefault="002719FC">
      <w:pPr>
        <w:rPr>
          <w:i/>
          <w:color w:val="FF0000"/>
        </w:rPr>
      </w:pPr>
      <w:r>
        <w:t>Não foram identificadas necessidades de adequação de infraestrutura, equipamentos específicos ou outras tecnologias necessárias para a utilização da tecnologia que não estejam contempladas no Rol vigente da ANS.</w:t>
      </w:r>
    </w:p>
    <w:p w14:paraId="6930E822" w14:textId="77777777" w:rsidR="00817793" w:rsidRDefault="00817793">
      <w:pPr>
        <w:pStyle w:val="Ttulo2"/>
      </w:pPr>
      <w:bookmarkStart w:id="85" w:name="_1b30dnioj169" w:colFirst="0" w:colLast="0"/>
      <w:bookmarkEnd w:id="85"/>
    </w:p>
    <w:p w14:paraId="78285DDD" w14:textId="77777777" w:rsidR="00B716E9" w:rsidRDefault="00B716E9" w:rsidP="00B716E9"/>
    <w:p w14:paraId="57B1DA8E" w14:textId="77777777" w:rsidR="00B716E9" w:rsidRDefault="00B716E9" w:rsidP="00B716E9"/>
    <w:p w14:paraId="7707CAAA" w14:textId="77777777" w:rsidR="00817793" w:rsidRDefault="002719FC">
      <w:pPr>
        <w:pStyle w:val="Ttulo2"/>
      </w:pPr>
      <w:bookmarkStart w:id="86" w:name="_2u6wntf" w:colFirst="0" w:colLast="0"/>
      <w:bookmarkEnd w:id="86"/>
      <w:r>
        <w:lastRenderedPageBreak/>
        <w:t>8.3. Conclusões</w:t>
      </w:r>
    </w:p>
    <w:p w14:paraId="02F7C3C8" w14:textId="77777777" w:rsidR="00817793" w:rsidRDefault="002719FC">
      <w:r>
        <w:t>Na análise, foram incluídos três ensaios clínicos: TULIP-1 (</w:t>
      </w:r>
      <w:proofErr w:type="spellStart"/>
      <w:r>
        <w:t>Furie</w:t>
      </w:r>
      <w:proofErr w:type="spellEnd"/>
      <w:r>
        <w:t xml:space="preserve"> et al., 2019), TULIP-2 (Morand et al., 2020) e TULIP-LTE (</w:t>
      </w:r>
      <w:proofErr w:type="spellStart"/>
      <w:r>
        <w:t>Kalunian</w:t>
      </w:r>
      <w:proofErr w:type="spellEnd"/>
      <w:r>
        <w:t xml:space="preserve"> et al., 2023). Para o desfecho SRI-4, não houve significância estatística entre os grupos </w:t>
      </w:r>
      <w:proofErr w:type="spellStart"/>
      <w:r>
        <w:t>anifrolumabe</w:t>
      </w:r>
      <w:proofErr w:type="spellEnd"/>
      <w:r>
        <w:t xml:space="preserve"> e placebo + terapia </w:t>
      </w:r>
      <w:proofErr w:type="gramStart"/>
      <w:r>
        <w:t>padrão(</w:t>
      </w:r>
      <w:proofErr w:type="gramEnd"/>
      <w:r>
        <w:t xml:space="preserve">*) (Diferença -4,2 [IC95% -14,2; 5,8], p=0,412), com certeza da evidência classificada como baixa. No desfecho BICLA, os resultados foram favoráveis ao grupo </w:t>
      </w:r>
      <w:proofErr w:type="spellStart"/>
      <w:r>
        <w:t>anifrolumabe</w:t>
      </w:r>
      <w:proofErr w:type="spellEnd"/>
      <w:r>
        <w:t xml:space="preserve"> nos ensaios TULIP-1 (Diferença 10,1 [0,6; 19,7]) e TULIP-2 (Diferença 16,3 [6,3; 26,3], p=0,001), também com certeza da evidência baixa. Para eventos adversos graves, a certeza da evidência foi baixa, com dois estudos apresentando resultados favoráveis ao </w:t>
      </w:r>
      <w:proofErr w:type="spellStart"/>
      <w:r>
        <w:t>anifrolumabe</w:t>
      </w:r>
      <w:proofErr w:type="spellEnd"/>
      <w:r>
        <w:t xml:space="preserve"> (TULIP-LTE: </w:t>
      </w:r>
      <w:proofErr w:type="spellStart"/>
      <w:r>
        <w:t>anifrolumabe</w:t>
      </w:r>
      <w:proofErr w:type="spellEnd"/>
      <w:r>
        <w:t xml:space="preserve"> 300 mg: 22,6% versus placebo + terapia </w:t>
      </w:r>
      <w:proofErr w:type="gramStart"/>
      <w:r>
        <w:t>padrão(</w:t>
      </w:r>
      <w:proofErr w:type="gramEnd"/>
      <w:r>
        <w:t xml:space="preserve">*): 25%; outro estudo: 14% versus 16%), enquanto o TULIP-2 mostrou maior frequência de eventos adversos no grupo </w:t>
      </w:r>
      <w:proofErr w:type="spellStart"/>
      <w:r>
        <w:t>anifrolumabe</w:t>
      </w:r>
      <w:proofErr w:type="spellEnd"/>
      <w:r>
        <w:t xml:space="preserve"> (88,3%) em comparação ao placebo + terapia </w:t>
      </w:r>
      <w:proofErr w:type="gramStart"/>
      <w:r>
        <w:t>padrão(</w:t>
      </w:r>
      <w:proofErr w:type="gramEnd"/>
      <w:r>
        <w:t xml:space="preserve">*) (84,1%). Em relação à redução no uso de corticosteroides, a certeza da evidência foi muito baixa; o TULIP-1 não encontrou diferença estatística entre os grupos (Diferença: 8,9; IC95% -4,1 a 21,9; p=0,180), enquanto os estudos TULIP-2 e TULIP-LTE demonstraram que os pacientes tratados com </w:t>
      </w:r>
      <w:proofErr w:type="spellStart"/>
      <w:r>
        <w:t>anifrolumabe</w:t>
      </w:r>
      <w:proofErr w:type="spellEnd"/>
      <w:r>
        <w:t xml:space="preserve"> reduziram o uso de corticosteroides. Para o desfecho CLASI, com certeza da evidência baixa, o TULIP-1 não identificou diferença estatística entre os grupos (Diferença: 17,0; IC95% -0,31 a 34,3; p=0,054), mas o TULIP-2 mostrou melhores respostas no grupo </w:t>
      </w:r>
      <w:proofErr w:type="spellStart"/>
      <w:r>
        <w:t>anifrolumabe</w:t>
      </w:r>
      <w:proofErr w:type="spellEnd"/>
      <w:r>
        <w:t xml:space="preserve"> (Diferença: 24,0; IC95% 4,3 a 43,6; p=0,04). No desfecho SLEDAI-2K, também com certeza da evidência baixa, o TULIP-LTE não encontrou diferença estatística entre os grupos, com pacientes que iniciaram no ECR LTE apresentando escores médios de 5,1 ± 3,5 (</w:t>
      </w:r>
      <w:proofErr w:type="spellStart"/>
      <w:r>
        <w:t>anifrolumabe</w:t>
      </w:r>
      <w:proofErr w:type="spellEnd"/>
      <w:r>
        <w:t xml:space="preserve"> 300 mg) e 6,0 ± 4,1 (placebo + terapia </w:t>
      </w:r>
      <w:proofErr w:type="gramStart"/>
      <w:r>
        <w:t>padrão(</w:t>
      </w:r>
      <w:proofErr w:type="gramEnd"/>
      <w:r>
        <w:t>*)).</w:t>
      </w:r>
    </w:p>
    <w:p w14:paraId="4B6C96CF" w14:textId="77777777" w:rsidR="00817793" w:rsidRDefault="002719FC">
      <w:pPr>
        <w:rPr>
          <w:highlight w:val="yellow"/>
        </w:rPr>
      </w:pPr>
      <w:r>
        <w:t xml:space="preserve">O estudo de custo-utilidade mostrou uma razão de custo-utilidade incremental de R$271.388,15/AVAQ com o uso de </w:t>
      </w:r>
      <w:proofErr w:type="spellStart"/>
      <w:r>
        <w:t>anifrolumabe</w:t>
      </w:r>
      <w:proofErr w:type="spellEnd"/>
      <w:r>
        <w:t xml:space="preserve"> + tratamento padrão em comparação com tratamento padrão, considerando a perspectiva da saúde suplementar.</w:t>
      </w:r>
    </w:p>
    <w:p w14:paraId="777F8631" w14:textId="77777777" w:rsidR="00817793" w:rsidRDefault="002719FC">
      <w:r>
        <w:t xml:space="preserve">O impacto orçamentário incremental com o cenário projetado considerando a disponibilização do medicamento foi de </w:t>
      </w:r>
      <w:r>
        <w:rPr>
          <w:b/>
        </w:rPr>
        <w:t>R$129 milhões</w:t>
      </w:r>
      <w:r>
        <w:t xml:space="preserve"> em comparação com o cenário atual, em um horizonte temporal de 5 ANOS.</w:t>
      </w:r>
    </w:p>
    <w:p w14:paraId="0CE19BC3" w14:textId="77777777" w:rsidR="00817793" w:rsidRDefault="00817793">
      <w:bookmarkStart w:id="87" w:name="_27bsd4g9nuy6" w:colFirst="0" w:colLast="0"/>
      <w:bookmarkEnd w:id="87"/>
    </w:p>
    <w:p w14:paraId="4B792E2C" w14:textId="77777777" w:rsidR="00817793" w:rsidRDefault="002719FC">
      <w:pPr>
        <w:pStyle w:val="Ttulo1"/>
      </w:pPr>
      <w:bookmarkStart w:id="88" w:name="_19c6y18" w:colFirst="0" w:colLast="0"/>
      <w:bookmarkEnd w:id="88"/>
      <w:r>
        <w:lastRenderedPageBreak/>
        <w:t>9. REFERÊNCIAS</w:t>
      </w:r>
    </w:p>
    <w:p w14:paraId="78273411" w14:textId="77777777" w:rsidR="00817793" w:rsidRDefault="002719FC">
      <w:pPr>
        <w:numPr>
          <w:ilvl w:val="0"/>
          <w:numId w:val="13"/>
        </w:numPr>
        <w:pBdr>
          <w:top w:val="nil"/>
          <w:left w:val="nil"/>
          <w:bottom w:val="nil"/>
          <w:right w:val="nil"/>
          <w:between w:val="nil"/>
        </w:pBdr>
        <w:spacing w:before="0" w:after="0"/>
        <w:ind w:left="714" w:hanging="357"/>
        <w:rPr>
          <w:color w:val="000000"/>
        </w:rPr>
      </w:pPr>
      <w:r>
        <w:rPr>
          <w:color w:val="000000"/>
        </w:rPr>
        <w:t>BRASIL. Ministério da Saúde. Secretaria de Ciência, Tecnologia, Inovação e Insumos Estratégicos em Saúde. Departamento de Gestão e Incorporação de Tecnologias em Saúde. Diretrizes metodológicas: elaboração de revisão sistemática e meta-análise de ensaios clínicos randomizados [recurso eletrônico] / Ministério da Saúde, Secretaria de Ciência, Tecnologia, Inovação e Insumos Estratégicos em Saúde, Departamento de Gestão e Incorporação de Tecnologias em Saúde. – Brasília: Ministério da Saúde, 2021. 93 p.: il.</w:t>
      </w:r>
    </w:p>
    <w:p w14:paraId="79C63593" w14:textId="77777777" w:rsidR="00817793" w:rsidRDefault="002719FC">
      <w:pPr>
        <w:numPr>
          <w:ilvl w:val="0"/>
          <w:numId w:val="13"/>
        </w:numPr>
        <w:pBdr>
          <w:top w:val="nil"/>
          <w:left w:val="nil"/>
          <w:bottom w:val="nil"/>
          <w:right w:val="nil"/>
          <w:between w:val="nil"/>
        </w:pBdr>
        <w:spacing w:before="0" w:after="0"/>
        <w:ind w:left="714" w:hanging="357"/>
        <w:rPr>
          <w:color w:val="000000"/>
        </w:rPr>
      </w:pPr>
      <w:r>
        <w:rPr>
          <w:color w:val="000000"/>
        </w:rPr>
        <w:t>BRASIL. Ministério da Saúde. Secretaria de Ciência, Tecnologia, Inovação e Insumos Estratégicos em Saúde. Departamento de Gestão e Incorporação de Tecnologias e Inovação em Saúde. Diretrizes metodológicas: elaboração de pareceres técnico-científicos [recurso eletrônico] / Ministério da Saúde, Secretaria de Ciência, Tecnologia, Inovação e Insumos Estratégicos em Saúde, Departamento de Gestão e Incorporação de Tecnologias e Inovação em Saúde. – Brasília: Ministério da Saúde, 2021. 122 p.: il.</w:t>
      </w:r>
    </w:p>
    <w:p w14:paraId="22A01943" w14:textId="77777777" w:rsidR="00817793" w:rsidRDefault="002719FC">
      <w:pPr>
        <w:numPr>
          <w:ilvl w:val="0"/>
          <w:numId w:val="13"/>
        </w:numPr>
        <w:pBdr>
          <w:top w:val="nil"/>
          <w:left w:val="nil"/>
          <w:bottom w:val="nil"/>
          <w:right w:val="nil"/>
          <w:between w:val="nil"/>
        </w:pBdr>
        <w:spacing w:before="0" w:after="0"/>
        <w:ind w:left="714" w:hanging="357"/>
        <w:rPr>
          <w:color w:val="000000"/>
        </w:rPr>
      </w:pPr>
      <w:r>
        <w:rPr>
          <w:color w:val="000000"/>
        </w:rPr>
        <w:t>BRASIL. Ministério da Saúde. Secretaria de Ciência, Tecnologia e Insumos Estratégicos. Departamento de Ciência e Tecnologia. Diretrizes metodológicas: Diretriz de Avaliação Econômica / Ministério da Saúde, Secretaria de Ciência, Tecnologia e Insumos Estratégicos, Departamento de Ciência e Tecnologia. – 2. ed. – Brasília: Ministério da Saúde, 2014. 132 p.:</w:t>
      </w:r>
      <w:proofErr w:type="spellStart"/>
      <w:r>
        <w:rPr>
          <w:color w:val="000000"/>
        </w:rPr>
        <w:t>il</w:t>
      </w:r>
      <w:proofErr w:type="spellEnd"/>
      <w:r>
        <w:rPr>
          <w:color w:val="000000"/>
        </w:rPr>
        <w:t>.</w:t>
      </w:r>
    </w:p>
    <w:p w14:paraId="4DD1A91A" w14:textId="77777777" w:rsidR="00817793" w:rsidRDefault="002719FC">
      <w:pPr>
        <w:numPr>
          <w:ilvl w:val="0"/>
          <w:numId w:val="13"/>
        </w:numPr>
        <w:pBdr>
          <w:top w:val="nil"/>
          <w:left w:val="nil"/>
          <w:bottom w:val="nil"/>
          <w:right w:val="nil"/>
          <w:between w:val="nil"/>
        </w:pBdr>
        <w:spacing w:before="0" w:after="0"/>
        <w:ind w:left="714" w:hanging="357"/>
        <w:rPr>
          <w:color w:val="000000"/>
        </w:rPr>
      </w:pPr>
      <w:r>
        <w:rPr>
          <w:color w:val="000000"/>
        </w:rPr>
        <w:t xml:space="preserve">BRASIL. Ministério da Saúde. Secretaria de Ciência, Tecnologia e Insumos Estratégicos. Departamento de Ciência e Tecnologia. Diretrizes metodológicas: análise de impacto orçamentário: manual para o Sistema de Saúde do Brasil / Ministério da Saúde, Secretaria de Ciência, Tecnologia e Insumos Estratégicos. Departamento de Ciência e Tecnologia. 1. ed., 1. </w:t>
      </w:r>
      <w:proofErr w:type="spellStart"/>
      <w:r>
        <w:rPr>
          <w:color w:val="000000"/>
        </w:rPr>
        <w:t>reimpr</w:t>
      </w:r>
      <w:proofErr w:type="spellEnd"/>
      <w:r>
        <w:rPr>
          <w:color w:val="000000"/>
        </w:rPr>
        <w:t>. – Brasília: Ministério da Saúde, 2014. 76 p.: il.</w:t>
      </w:r>
    </w:p>
    <w:p w14:paraId="657DD515" w14:textId="77777777" w:rsidR="00817793" w:rsidRDefault="002719FC">
      <w:pPr>
        <w:numPr>
          <w:ilvl w:val="0"/>
          <w:numId w:val="13"/>
        </w:numPr>
        <w:pBdr>
          <w:top w:val="nil"/>
          <w:left w:val="nil"/>
          <w:bottom w:val="nil"/>
          <w:right w:val="nil"/>
          <w:between w:val="nil"/>
        </w:pBdr>
        <w:spacing w:before="0" w:after="0"/>
        <w:ind w:left="714" w:hanging="357"/>
      </w:pPr>
      <w:proofErr w:type="spellStart"/>
      <w:r>
        <w:t>Helaly</w:t>
      </w:r>
      <w:proofErr w:type="spellEnd"/>
      <w:r>
        <w:t xml:space="preserve">, M., &amp; Mansour, M. (2018). Clinical features clusters in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The </w:t>
      </w:r>
      <w:proofErr w:type="spellStart"/>
      <w:r>
        <w:t>Egyptian</w:t>
      </w:r>
      <w:proofErr w:type="spellEnd"/>
      <w:r>
        <w:t xml:space="preserve"> </w:t>
      </w:r>
      <w:proofErr w:type="spellStart"/>
      <w:r>
        <w:t>Journal</w:t>
      </w:r>
      <w:proofErr w:type="spellEnd"/>
      <w:r>
        <w:t xml:space="preserve"> </w:t>
      </w:r>
      <w:proofErr w:type="spellStart"/>
      <w:r>
        <w:t>of</w:t>
      </w:r>
      <w:proofErr w:type="spellEnd"/>
      <w:r>
        <w:t xml:space="preserve"> Hospital Medicine, 71(5), 3136-3141.</w:t>
      </w:r>
    </w:p>
    <w:p w14:paraId="04A6EF73" w14:textId="77777777" w:rsidR="00817793" w:rsidRPr="00115FE0" w:rsidRDefault="002719FC">
      <w:pPr>
        <w:numPr>
          <w:ilvl w:val="0"/>
          <w:numId w:val="13"/>
        </w:numPr>
        <w:pBdr>
          <w:top w:val="nil"/>
          <w:left w:val="nil"/>
          <w:bottom w:val="nil"/>
          <w:right w:val="nil"/>
          <w:between w:val="nil"/>
        </w:pBdr>
        <w:spacing w:before="0" w:after="0"/>
        <w:ind w:left="714" w:hanging="357"/>
        <w:rPr>
          <w:lang w:val="de-DE"/>
        </w:rPr>
      </w:pPr>
      <w:proofErr w:type="spellStart"/>
      <w:r>
        <w:t>Font</w:t>
      </w:r>
      <w:proofErr w:type="spellEnd"/>
      <w:r>
        <w:t xml:space="preserve">, J., </w:t>
      </w:r>
      <w:proofErr w:type="spellStart"/>
      <w:r>
        <w:t>Cervera</w:t>
      </w:r>
      <w:proofErr w:type="spellEnd"/>
      <w:r>
        <w:t>, R., Ramos-</w:t>
      </w:r>
      <w:proofErr w:type="spellStart"/>
      <w:r>
        <w:t>Casals</w:t>
      </w:r>
      <w:proofErr w:type="spellEnd"/>
      <w:r>
        <w:t xml:space="preserve">, M., </w:t>
      </w:r>
      <w:proofErr w:type="spellStart"/>
      <w:r>
        <w:t>Garcı́a-Carrasco</w:t>
      </w:r>
      <w:proofErr w:type="spellEnd"/>
      <w:r>
        <w:t xml:space="preserve">, M., </w:t>
      </w:r>
      <w:proofErr w:type="spellStart"/>
      <w:r>
        <w:t>Sentı́s</w:t>
      </w:r>
      <w:proofErr w:type="spellEnd"/>
      <w:r>
        <w:t xml:space="preserve">, J., </w:t>
      </w:r>
      <w:proofErr w:type="spellStart"/>
      <w:r>
        <w:t>Herrero</w:t>
      </w:r>
      <w:proofErr w:type="spellEnd"/>
      <w:r>
        <w:t xml:space="preserve">, C., ... </w:t>
      </w:r>
      <w:r w:rsidRPr="00B47CA5">
        <w:rPr>
          <w:lang w:val="de-DE"/>
        </w:rPr>
        <w:t xml:space="preserve">&amp; Ingelmo, M. (2004, February). </w:t>
      </w:r>
      <w:r w:rsidRPr="00115FE0">
        <w:rPr>
          <w:lang w:val="de-DE"/>
        </w:rPr>
        <w:t>Clusters of clinical and immunologic features in systemic lupus erythematosus: analysis of 600 patients from a single center. In Seminars in arthritis and rheumatism (Vol. 33, No. 4, pp. 217-230). WB Saunders.</w:t>
      </w:r>
    </w:p>
    <w:p w14:paraId="475376F7"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lastRenderedPageBreak/>
        <w:t xml:space="preserve">Hochberg, M. C., &amp; Petri, M. (1993). </w:t>
      </w:r>
      <w:r>
        <w:t xml:space="preserve">Clinical features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Current</w:t>
      </w:r>
      <w:proofErr w:type="spellEnd"/>
      <w:r>
        <w:t xml:space="preserve"> </w:t>
      </w:r>
      <w:proofErr w:type="spellStart"/>
      <w:r>
        <w:t>opinion</w:t>
      </w:r>
      <w:proofErr w:type="spellEnd"/>
      <w:r>
        <w:t xml:space="preserve"> in </w:t>
      </w:r>
      <w:proofErr w:type="spellStart"/>
      <w:r>
        <w:t>rheumatology</w:t>
      </w:r>
      <w:proofErr w:type="spellEnd"/>
      <w:r>
        <w:t>, 5(5), 575-586.</w:t>
      </w:r>
    </w:p>
    <w:p w14:paraId="67C47574" w14:textId="77777777" w:rsidR="00817793" w:rsidRDefault="002719FC">
      <w:pPr>
        <w:numPr>
          <w:ilvl w:val="0"/>
          <w:numId w:val="13"/>
        </w:numPr>
        <w:pBdr>
          <w:top w:val="nil"/>
          <w:left w:val="nil"/>
          <w:bottom w:val="nil"/>
          <w:right w:val="nil"/>
          <w:between w:val="nil"/>
        </w:pBdr>
        <w:spacing w:before="0" w:after="0"/>
        <w:ind w:left="714" w:hanging="357"/>
      </w:pPr>
      <w:proofErr w:type="spellStart"/>
      <w:r>
        <w:t>Moulton</w:t>
      </w:r>
      <w:proofErr w:type="spellEnd"/>
      <w:r>
        <w:t>, V., Suárez-</w:t>
      </w:r>
      <w:proofErr w:type="spellStart"/>
      <w:r>
        <w:t>Fueyo</w:t>
      </w:r>
      <w:proofErr w:type="spellEnd"/>
      <w:r>
        <w:t xml:space="preserve">, A., </w:t>
      </w:r>
      <w:proofErr w:type="spellStart"/>
      <w:r>
        <w:t>Meidan</w:t>
      </w:r>
      <w:proofErr w:type="spellEnd"/>
      <w:r>
        <w:t xml:space="preserve">, E., Li, H., </w:t>
      </w:r>
      <w:proofErr w:type="spellStart"/>
      <w:r>
        <w:t>Mizui</w:t>
      </w:r>
      <w:proofErr w:type="spellEnd"/>
      <w:r>
        <w:t xml:space="preserve">, M., &amp; </w:t>
      </w:r>
      <w:proofErr w:type="spellStart"/>
      <w:r>
        <w:t>Tsokos</w:t>
      </w:r>
      <w:proofErr w:type="spellEnd"/>
      <w:r>
        <w:t xml:space="preserve">, G. (2017). </w:t>
      </w:r>
      <w:proofErr w:type="spellStart"/>
      <w:r>
        <w:t>Pathogenesis</w:t>
      </w:r>
      <w:proofErr w:type="spellEnd"/>
      <w:r>
        <w:t xml:space="preserve"> </w:t>
      </w:r>
      <w:proofErr w:type="spellStart"/>
      <w:r>
        <w:t>of</w:t>
      </w:r>
      <w:proofErr w:type="spellEnd"/>
      <w:r>
        <w:t xml:space="preserve"> </w:t>
      </w:r>
      <w:proofErr w:type="spellStart"/>
      <w:r>
        <w:t>Human</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A </w:t>
      </w:r>
      <w:proofErr w:type="spellStart"/>
      <w:r>
        <w:t>Cellular</w:t>
      </w:r>
      <w:proofErr w:type="spellEnd"/>
      <w:r>
        <w:t xml:space="preserve"> </w:t>
      </w:r>
      <w:proofErr w:type="gramStart"/>
      <w:r>
        <w:t>Perspective..</w:t>
      </w:r>
      <w:proofErr w:type="gramEnd"/>
      <w:r>
        <w:t xml:space="preserve"> Trends in molecular medicine, 23 7, 615-</w:t>
      </w:r>
      <w:proofErr w:type="gramStart"/>
      <w:r>
        <w:t>635 .</w:t>
      </w:r>
      <w:proofErr w:type="gramEnd"/>
      <w:r>
        <w:t xml:space="preserve"> </w:t>
      </w:r>
      <w:hyperlink r:id="rId31">
        <w:r>
          <w:rPr>
            <w:color w:val="1155CC"/>
            <w:u w:val="single"/>
          </w:rPr>
          <w:t>https://doi.org/10.1016/j.molmed.2017.05.006</w:t>
        </w:r>
      </w:hyperlink>
      <w:r>
        <w:t>.</w:t>
      </w:r>
    </w:p>
    <w:p w14:paraId="7E0BF686" w14:textId="77777777" w:rsidR="00817793" w:rsidRDefault="002719FC">
      <w:pPr>
        <w:numPr>
          <w:ilvl w:val="0"/>
          <w:numId w:val="13"/>
        </w:numPr>
        <w:pBdr>
          <w:top w:val="nil"/>
          <w:left w:val="nil"/>
          <w:bottom w:val="nil"/>
          <w:right w:val="nil"/>
          <w:between w:val="nil"/>
        </w:pBdr>
        <w:spacing w:before="0" w:after="0"/>
        <w:ind w:left="714" w:hanging="357"/>
      </w:pPr>
      <w:proofErr w:type="spellStart"/>
      <w:r>
        <w:t>Barbhaiya</w:t>
      </w:r>
      <w:proofErr w:type="spellEnd"/>
      <w:r>
        <w:t xml:space="preserve">, M., &amp; </w:t>
      </w:r>
      <w:proofErr w:type="spellStart"/>
      <w:r>
        <w:t>Costenbader</w:t>
      </w:r>
      <w:proofErr w:type="spellEnd"/>
      <w:r>
        <w:t xml:space="preserve">, K. (2016). Environmental </w:t>
      </w:r>
      <w:proofErr w:type="spellStart"/>
      <w:r>
        <w:t>exposures</w:t>
      </w:r>
      <w:proofErr w:type="spellEnd"/>
      <w:r>
        <w:t xml:space="preserve"> </w:t>
      </w:r>
      <w:proofErr w:type="spellStart"/>
      <w:r>
        <w:t>and</w:t>
      </w:r>
      <w:proofErr w:type="spellEnd"/>
      <w:r>
        <w:t xml:space="preserve"> </w:t>
      </w:r>
      <w:proofErr w:type="spellStart"/>
      <w:r>
        <w:t>the</w:t>
      </w:r>
      <w:proofErr w:type="spellEnd"/>
      <w:r>
        <w:t xml:space="preserve"> </w:t>
      </w:r>
      <w:proofErr w:type="spellStart"/>
      <w:r>
        <w:t>development</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Current</w:t>
      </w:r>
      <w:proofErr w:type="spellEnd"/>
      <w:r>
        <w:t xml:space="preserve"> Opinion in </w:t>
      </w:r>
      <w:proofErr w:type="spellStart"/>
      <w:r>
        <w:t>Rheumatology</w:t>
      </w:r>
      <w:proofErr w:type="spellEnd"/>
      <w:r>
        <w:t xml:space="preserve">, 28, 497–505. </w:t>
      </w:r>
      <w:hyperlink r:id="rId32">
        <w:r>
          <w:rPr>
            <w:color w:val="1155CC"/>
            <w:u w:val="single"/>
          </w:rPr>
          <w:t>https://doi.org/10.1097/BOR.0000000000000318</w:t>
        </w:r>
      </w:hyperlink>
      <w:r>
        <w:t>.</w:t>
      </w:r>
    </w:p>
    <w:p w14:paraId="6D998751" w14:textId="77777777" w:rsidR="00817793" w:rsidRDefault="002719FC">
      <w:pPr>
        <w:numPr>
          <w:ilvl w:val="0"/>
          <w:numId w:val="13"/>
        </w:numPr>
        <w:pBdr>
          <w:top w:val="nil"/>
          <w:left w:val="nil"/>
          <w:bottom w:val="nil"/>
          <w:right w:val="nil"/>
          <w:between w:val="nil"/>
        </w:pBdr>
        <w:spacing w:before="0" w:after="0"/>
        <w:ind w:left="714" w:hanging="357"/>
      </w:pPr>
      <w:proofErr w:type="spellStart"/>
      <w:r>
        <w:t>Aringer</w:t>
      </w:r>
      <w:proofErr w:type="spellEnd"/>
      <w:r>
        <w:t xml:space="preserve">, M., </w:t>
      </w:r>
      <w:proofErr w:type="spellStart"/>
      <w:r>
        <w:t>Costenbader</w:t>
      </w:r>
      <w:proofErr w:type="spellEnd"/>
      <w:r>
        <w:t xml:space="preserve">, K., </w:t>
      </w:r>
      <w:proofErr w:type="spellStart"/>
      <w:r>
        <w:t>Daikh</w:t>
      </w:r>
      <w:proofErr w:type="spellEnd"/>
      <w:r>
        <w:t xml:space="preserve">, D., </w:t>
      </w:r>
      <w:proofErr w:type="spellStart"/>
      <w:r>
        <w:t>Brinks</w:t>
      </w:r>
      <w:proofErr w:type="spellEnd"/>
      <w:r>
        <w:t xml:space="preserve">, R., Mosca, M., Ramsey‐Goldman, R., </w:t>
      </w:r>
      <w:proofErr w:type="spellStart"/>
      <w:r>
        <w:t>Smolen</w:t>
      </w:r>
      <w:proofErr w:type="spellEnd"/>
      <w:r>
        <w:t xml:space="preserve">, J., </w:t>
      </w:r>
      <w:proofErr w:type="spellStart"/>
      <w:r>
        <w:t>Wofsy</w:t>
      </w:r>
      <w:proofErr w:type="spellEnd"/>
      <w:r>
        <w:t xml:space="preserve">, D., </w:t>
      </w:r>
      <w:proofErr w:type="spellStart"/>
      <w:r>
        <w:t>Boumpas</w:t>
      </w:r>
      <w:proofErr w:type="spellEnd"/>
      <w:r>
        <w:t xml:space="preserve">, D., </w:t>
      </w:r>
      <w:proofErr w:type="spellStart"/>
      <w:r>
        <w:t>Kamen</w:t>
      </w:r>
      <w:proofErr w:type="spellEnd"/>
      <w:r>
        <w:t xml:space="preserve">, D., Jayne, D., </w:t>
      </w:r>
      <w:proofErr w:type="spellStart"/>
      <w:r>
        <w:t>Cervera</w:t>
      </w:r>
      <w:proofErr w:type="spellEnd"/>
      <w:r>
        <w:t xml:space="preserve">, R., </w:t>
      </w:r>
      <w:proofErr w:type="spellStart"/>
      <w:r>
        <w:t>Costedoat-Chalumeau</w:t>
      </w:r>
      <w:proofErr w:type="spellEnd"/>
      <w:r>
        <w:t xml:space="preserve">, N., Diamond, B., </w:t>
      </w:r>
      <w:proofErr w:type="spellStart"/>
      <w:r>
        <w:t>Gladman</w:t>
      </w:r>
      <w:proofErr w:type="spellEnd"/>
      <w:r>
        <w:t xml:space="preserve">, D., Hahn, B., </w:t>
      </w:r>
      <w:proofErr w:type="spellStart"/>
      <w:r>
        <w:t>Hiepe</w:t>
      </w:r>
      <w:proofErr w:type="spellEnd"/>
      <w:r>
        <w:t xml:space="preserve">, F., Jacobsen, S., </w:t>
      </w:r>
      <w:proofErr w:type="spellStart"/>
      <w:r>
        <w:t>Khanna</w:t>
      </w:r>
      <w:proofErr w:type="spellEnd"/>
      <w:r>
        <w:t xml:space="preserve">, D., </w:t>
      </w:r>
      <w:proofErr w:type="spellStart"/>
      <w:r>
        <w:t>Lerstrøm</w:t>
      </w:r>
      <w:proofErr w:type="spellEnd"/>
      <w:r>
        <w:t xml:space="preserve">, K., </w:t>
      </w:r>
      <w:proofErr w:type="spellStart"/>
      <w:r>
        <w:t>Massarotti</w:t>
      </w:r>
      <w:proofErr w:type="spellEnd"/>
      <w:r>
        <w:t xml:space="preserve">, E., </w:t>
      </w:r>
      <w:proofErr w:type="spellStart"/>
      <w:r>
        <w:t>Mccune</w:t>
      </w:r>
      <w:proofErr w:type="spellEnd"/>
      <w:r>
        <w:t>, J., Ruiz‐</w:t>
      </w:r>
      <w:proofErr w:type="spellStart"/>
      <w:r>
        <w:t>Irastorza</w:t>
      </w:r>
      <w:proofErr w:type="spellEnd"/>
      <w:r>
        <w:t xml:space="preserve">, G., Sánchez-Guerrero, J., Schneider, M., </w:t>
      </w:r>
      <w:proofErr w:type="spellStart"/>
      <w:r>
        <w:t>Urowitz</w:t>
      </w:r>
      <w:proofErr w:type="spellEnd"/>
      <w:r>
        <w:t xml:space="preserve">, M., </w:t>
      </w:r>
      <w:proofErr w:type="spellStart"/>
      <w:r>
        <w:t>Bertsias</w:t>
      </w:r>
      <w:proofErr w:type="spellEnd"/>
      <w:r>
        <w:t xml:space="preserve">, G., </w:t>
      </w:r>
      <w:proofErr w:type="spellStart"/>
      <w:r>
        <w:t>Hoyer</w:t>
      </w:r>
      <w:proofErr w:type="spellEnd"/>
      <w:r>
        <w:t xml:space="preserve">, B., </w:t>
      </w:r>
      <w:proofErr w:type="spellStart"/>
      <w:r>
        <w:t>Leuchten</w:t>
      </w:r>
      <w:proofErr w:type="spellEnd"/>
      <w:r>
        <w:t xml:space="preserve">, N., Tani, C., Tedeschi, S., </w:t>
      </w:r>
      <w:proofErr w:type="spellStart"/>
      <w:r>
        <w:t>Touma</w:t>
      </w:r>
      <w:proofErr w:type="spellEnd"/>
      <w:r>
        <w:t xml:space="preserve">, Z., </w:t>
      </w:r>
      <w:proofErr w:type="spellStart"/>
      <w:r>
        <w:t>Schmajuk</w:t>
      </w:r>
      <w:proofErr w:type="spellEnd"/>
      <w:r>
        <w:t xml:space="preserve">, G., </w:t>
      </w:r>
      <w:proofErr w:type="spellStart"/>
      <w:r>
        <w:t>Anić</w:t>
      </w:r>
      <w:proofErr w:type="spellEnd"/>
      <w:r>
        <w:t xml:space="preserve">, B., </w:t>
      </w:r>
      <w:proofErr w:type="spellStart"/>
      <w:r>
        <w:t>Assan</w:t>
      </w:r>
      <w:proofErr w:type="spellEnd"/>
      <w:r>
        <w:t xml:space="preserve">, F., Chan, T., Clarke, A., Crow, M., </w:t>
      </w:r>
      <w:proofErr w:type="spellStart"/>
      <w:r>
        <w:t>Czirják</w:t>
      </w:r>
      <w:proofErr w:type="spellEnd"/>
      <w:r>
        <w:t xml:space="preserve">, L., Doria, A., </w:t>
      </w:r>
      <w:proofErr w:type="spellStart"/>
      <w:r>
        <w:t>Graninger</w:t>
      </w:r>
      <w:proofErr w:type="spellEnd"/>
      <w:r>
        <w:t xml:space="preserve">, W., </w:t>
      </w:r>
      <w:proofErr w:type="spellStart"/>
      <w:r>
        <w:t>Halda</w:t>
      </w:r>
      <w:proofErr w:type="spellEnd"/>
      <w:r>
        <w:t xml:space="preserve">-Kiss, B., </w:t>
      </w:r>
      <w:proofErr w:type="spellStart"/>
      <w:r>
        <w:t>Hasni</w:t>
      </w:r>
      <w:proofErr w:type="spellEnd"/>
      <w:r>
        <w:t xml:space="preserve">, S., </w:t>
      </w:r>
      <w:proofErr w:type="spellStart"/>
      <w:r>
        <w:t>Izmirly</w:t>
      </w:r>
      <w:proofErr w:type="spellEnd"/>
      <w:r>
        <w:t xml:space="preserve">, P., Jung, M., </w:t>
      </w:r>
      <w:proofErr w:type="spellStart"/>
      <w:r>
        <w:t>Kumánovics</w:t>
      </w:r>
      <w:proofErr w:type="spellEnd"/>
      <w:r>
        <w:t xml:space="preserve">, G., </w:t>
      </w:r>
      <w:proofErr w:type="spellStart"/>
      <w:r>
        <w:t>Mariette</w:t>
      </w:r>
      <w:proofErr w:type="spellEnd"/>
      <w:r>
        <w:t xml:space="preserve">, X., </w:t>
      </w:r>
      <w:proofErr w:type="spellStart"/>
      <w:r>
        <w:t>Padjen</w:t>
      </w:r>
      <w:proofErr w:type="spellEnd"/>
      <w:r>
        <w:t>, I., Pego-</w:t>
      </w:r>
      <w:proofErr w:type="spellStart"/>
      <w:r>
        <w:t>Reigosa</w:t>
      </w:r>
      <w:proofErr w:type="spellEnd"/>
      <w:r>
        <w:t xml:space="preserve">, J., Romero-Díaz, J., Fernández, Í., </w:t>
      </w:r>
      <w:proofErr w:type="spellStart"/>
      <w:r>
        <w:t>Seror</w:t>
      </w:r>
      <w:proofErr w:type="spellEnd"/>
      <w:r>
        <w:t xml:space="preserve">, R., </w:t>
      </w:r>
      <w:proofErr w:type="spellStart"/>
      <w:r>
        <w:t>Stummvoll</w:t>
      </w:r>
      <w:proofErr w:type="spellEnd"/>
      <w:r>
        <w:t xml:space="preserve">, G., Tanaka, Y., </w:t>
      </w:r>
      <w:proofErr w:type="spellStart"/>
      <w:r>
        <w:t>Tektonidou</w:t>
      </w:r>
      <w:proofErr w:type="spellEnd"/>
      <w:r>
        <w:t xml:space="preserve">, M., Vasconcelos, C., Vital, E., Wallace, D., </w:t>
      </w:r>
      <w:proofErr w:type="spellStart"/>
      <w:r>
        <w:t>Yavuz</w:t>
      </w:r>
      <w:proofErr w:type="spellEnd"/>
      <w:r>
        <w:t xml:space="preserve">, Ş., </w:t>
      </w:r>
      <w:proofErr w:type="spellStart"/>
      <w:r>
        <w:t>Meroni</w:t>
      </w:r>
      <w:proofErr w:type="spellEnd"/>
      <w:r>
        <w:t xml:space="preserve">, P., </w:t>
      </w:r>
      <w:proofErr w:type="spellStart"/>
      <w:r>
        <w:t>Fritzler</w:t>
      </w:r>
      <w:proofErr w:type="spellEnd"/>
      <w:r>
        <w:t xml:space="preserve">, M., </w:t>
      </w:r>
      <w:proofErr w:type="spellStart"/>
      <w:r>
        <w:t>Naden</w:t>
      </w:r>
      <w:proofErr w:type="spellEnd"/>
      <w:r>
        <w:t xml:space="preserve">, R., </w:t>
      </w:r>
      <w:proofErr w:type="spellStart"/>
      <w:r>
        <w:t>Dörner</w:t>
      </w:r>
      <w:proofErr w:type="spellEnd"/>
      <w:r>
        <w:t xml:space="preserve">, T., &amp; Johnson, S. (2019). 2019 </w:t>
      </w:r>
      <w:proofErr w:type="spellStart"/>
      <w:r>
        <w:t>European</w:t>
      </w:r>
      <w:proofErr w:type="spellEnd"/>
      <w:r>
        <w:t xml:space="preserve"> League Against </w:t>
      </w:r>
      <w:proofErr w:type="spellStart"/>
      <w:r>
        <w:t>Rheumatism</w:t>
      </w:r>
      <w:proofErr w:type="spellEnd"/>
      <w:r>
        <w:t xml:space="preserve">/American </w:t>
      </w:r>
      <w:proofErr w:type="spellStart"/>
      <w:r>
        <w:t>College</w:t>
      </w:r>
      <w:proofErr w:type="spellEnd"/>
      <w:r>
        <w:t xml:space="preserve"> </w:t>
      </w:r>
      <w:proofErr w:type="spellStart"/>
      <w:r>
        <w:t>of</w:t>
      </w:r>
      <w:proofErr w:type="spellEnd"/>
      <w:r>
        <w:t xml:space="preserve"> </w:t>
      </w:r>
      <w:proofErr w:type="spellStart"/>
      <w:r>
        <w:t>Rheumatology</w:t>
      </w:r>
      <w:proofErr w:type="spellEnd"/>
      <w:r>
        <w:t xml:space="preserve"> </w:t>
      </w:r>
      <w:proofErr w:type="spellStart"/>
      <w:r>
        <w:t>classification</w:t>
      </w:r>
      <w:proofErr w:type="spellEnd"/>
      <w:r>
        <w:t xml:space="preserve"> </w:t>
      </w:r>
      <w:proofErr w:type="spellStart"/>
      <w:r>
        <w:t>criteria</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Annals</w:t>
      </w:r>
      <w:proofErr w:type="spellEnd"/>
      <w:r>
        <w:t xml:space="preserve"> </w:t>
      </w:r>
      <w:proofErr w:type="spellStart"/>
      <w:r>
        <w:t>of</w:t>
      </w:r>
      <w:proofErr w:type="spellEnd"/>
      <w:r>
        <w:t xml:space="preserve"> </w:t>
      </w:r>
      <w:proofErr w:type="spellStart"/>
      <w:r>
        <w:t>the</w:t>
      </w:r>
      <w:proofErr w:type="spellEnd"/>
      <w:r>
        <w:t xml:space="preserve"> </w:t>
      </w:r>
      <w:proofErr w:type="spellStart"/>
      <w:r>
        <w:t>Rheumatic</w:t>
      </w:r>
      <w:proofErr w:type="spellEnd"/>
      <w:r>
        <w:t xml:space="preserve"> </w:t>
      </w:r>
      <w:proofErr w:type="spellStart"/>
      <w:r>
        <w:t>Diseases</w:t>
      </w:r>
      <w:proofErr w:type="spellEnd"/>
      <w:r>
        <w:t xml:space="preserve">, 78, 1151 - 1159. </w:t>
      </w:r>
      <w:hyperlink r:id="rId33">
        <w:r>
          <w:rPr>
            <w:color w:val="1155CC"/>
            <w:u w:val="single"/>
          </w:rPr>
          <w:t>https://doi.org/10.1136/annrheumdis-2018-214819</w:t>
        </w:r>
      </w:hyperlink>
      <w:r>
        <w:t>.</w:t>
      </w:r>
    </w:p>
    <w:p w14:paraId="1ED06421" w14:textId="77777777" w:rsidR="00817793" w:rsidRDefault="002719FC">
      <w:pPr>
        <w:numPr>
          <w:ilvl w:val="0"/>
          <w:numId w:val="13"/>
        </w:numPr>
        <w:pBdr>
          <w:top w:val="nil"/>
          <w:left w:val="nil"/>
          <w:bottom w:val="nil"/>
          <w:right w:val="nil"/>
          <w:between w:val="nil"/>
        </w:pBdr>
        <w:spacing w:before="0" w:after="0"/>
        <w:ind w:left="714" w:hanging="357"/>
      </w:pPr>
      <w:r>
        <w:t xml:space="preserve">Inês, L., Silva, C., Galindo, M., López-Longo, F., Terroso, G., Romão, V., </w:t>
      </w:r>
      <w:proofErr w:type="spellStart"/>
      <w:r>
        <w:t>Rúa</w:t>
      </w:r>
      <w:proofErr w:type="spellEnd"/>
      <w:r>
        <w:t>-Figueroa, Í., Santos, M., Pego-</w:t>
      </w:r>
      <w:proofErr w:type="spellStart"/>
      <w:r>
        <w:t>Reigosa</w:t>
      </w:r>
      <w:proofErr w:type="spellEnd"/>
      <w:r>
        <w:t xml:space="preserve">, J., Nero, P., Cerqueira, M., Duarte, C., Miranda, L., Bernardes, M., Gonçalves, M., </w:t>
      </w:r>
      <w:proofErr w:type="spellStart"/>
      <w:r>
        <w:t>Mouriño</w:t>
      </w:r>
      <w:proofErr w:type="spellEnd"/>
      <w:r>
        <w:t xml:space="preserve">-Rodríguez, C., Araújo, F., Raposo, A., Barcelos, A., Couto, M., Abreu, P., </w:t>
      </w:r>
      <w:proofErr w:type="spellStart"/>
      <w:r>
        <w:t>Otón</w:t>
      </w:r>
      <w:proofErr w:type="spellEnd"/>
      <w:r>
        <w:t>-Sánchez, T., Macieira, C., Ramos, F., Branco, J., Silva, J., Canhão, H., &amp; Calvo-</w:t>
      </w:r>
      <w:proofErr w:type="spellStart"/>
      <w:r>
        <w:t>Alén</w:t>
      </w:r>
      <w:proofErr w:type="spellEnd"/>
      <w:r>
        <w:t xml:space="preserve">, J. (2015). </w:t>
      </w:r>
      <w:proofErr w:type="spellStart"/>
      <w:r>
        <w:t>Classification</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International</w:t>
      </w:r>
      <w:proofErr w:type="spellEnd"/>
      <w:r>
        <w:t xml:space="preserve"> </w:t>
      </w:r>
      <w:proofErr w:type="spellStart"/>
      <w:r>
        <w:t>Collaborating</w:t>
      </w:r>
      <w:proofErr w:type="spellEnd"/>
      <w:r>
        <w:t xml:space="preserve"> </w:t>
      </w:r>
      <w:proofErr w:type="spellStart"/>
      <w:r>
        <w:t>Clinics</w:t>
      </w:r>
      <w:proofErr w:type="spellEnd"/>
      <w:r>
        <w:t xml:space="preserve"> Versus American </w:t>
      </w:r>
      <w:proofErr w:type="spellStart"/>
      <w:r>
        <w:t>College</w:t>
      </w:r>
      <w:proofErr w:type="spellEnd"/>
      <w:r>
        <w:t xml:space="preserve"> </w:t>
      </w:r>
      <w:proofErr w:type="spellStart"/>
      <w:r>
        <w:t>of</w:t>
      </w:r>
      <w:proofErr w:type="spellEnd"/>
      <w:r>
        <w:t xml:space="preserve"> </w:t>
      </w:r>
      <w:proofErr w:type="spellStart"/>
      <w:r>
        <w:t>Rheumatology</w:t>
      </w:r>
      <w:proofErr w:type="spellEnd"/>
      <w:r>
        <w:t xml:space="preserve"> </w:t>
      </w:r>
      <w:proofErr w:type="spellStart"/>
      <w:r>
        <w:t>Criteria</w:t>
      </w:r>
      <w:proofErr w:type="spellEnd"/>
      <w:r>
        <w:t xml:space="preserve">. A </w:t>
      </w:r>
      <w:proofErr w:type="spellStart"/>
      <w:r>
        <w:t>Comparative</w:t>
      </w:r>
      <w:proofErr w:type="spellEnd"/>
      <w:r>
        <w:t xml:space="preserve"> </w:t>
      </w:r>
      <w:proofErr w:type="spellStart"/>
      <w:r>
        <w:t>Study</w:t>
      </w:r>
      <w:proofErr w:type="spellEnd"/>
      <w:r>
        <w:t xml:space="preserve"> </w:t>
      </w:r>
      <w:proofErr w:type="spellStart"/>
      <w:r>
        <w:t>of</w:t>
      </w:r>
      <w:proofErr w:type="spellEnd"/>
      <w:r>
        <w:t xml:space="preserve"> 2,055 </w:t>
      </w:r>
      <w:proofErr w:type="spellStart"/>
      <w:r>
        <w:t>Patients</w:t>
      </w:r>
      <w:proofErr w:type="spellEnd"/>
      <w:r>
        <w:t xml:space="preserve"> </w:t>
      </w:r>
      <w:proofErr w:type="spellStart"/>
      <w:r>
        <w:t>From</w:t>
      </w:r>
      <w:proofErr w:type="spellEnd"/>
      <w:r>
        <w:t xml:space="preserve"> a Real‐Life, </w:t>
      </w:r>
      <w:proofErr w:type="spellStart"/>
      <w:r>
        <w:t>International</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Cohort</w:t>
      </w:r>
      <w:proofErr w:type="spellEnd"/>
      <w:r>
        <w:t xml:space="preserve">. </w:t>
      </w:r>
      <w:proofErr w:type="spellStart"/>
      <w:r>
        <w:t>Arthritis</w:t>
      </w:r>
      <w:proofErr w:type="spellEnd"/>
      <w:r>
        <w:t xml:space="preserve"> </w:t>
      </w:r>
      <w:proofErr w:type="spellStart"/>
      <w:r>
        <w:t>Care</w:t>
      </w:r>
      <w:proofErr w:type="spellEnd"/>
      <w:r>
        <w:t xml:space="preserve"> &amp; </w:t>
      </w:r>
      <w:proofErr w:type="spellStart"/>
      <w:r>
        <w:t>Research</w:t>
      </w:r>
      <w:proofErr w:type="spellEnd"/>
      <w:r>
        <w:t xml:space="preserve">, 67. </w:t>
      </w:r>
      <w:hyperlink r:id="rId34">
        <w:r>
          <w:rPr>
            <w:color w:val="1155CC"/>
            <w:u w:val="single"/>
          </w:rPr>
          <w:t>https://doi.org/10.1002/acr.22539</w:t>
        </w:r>
      </w:hyperlink>
    </w:p>
    <w:p w14:paraId="421F38C1" w14:textId="77777777" w:rsidR="00817793" w:rsidRPr="00115FE0" w:rsidRDefault="002719FC">
      <w:pPr>
        <w:numPr>
          <w:ilvl w:val="0"/>
          <w:numId w:val="13"/>
        </w:numPr>
        <w:pBdr>
          <w:top w:val="nil"/>
          <w:left w:val="nil"/>
          <w:bottom w:val="nil"/>
          <w:right w:val="nil"/>
          <w:between w:val="nil"/>
        </w:pBdr>
        <w:spacing w:before="0" w:after="0"/>
        <w:ind w:left="714" w:hanging="357"/>
        <w:rPr>
          <w:lang w:val="de-DE"/>
        </w:rPr>
      </w:pPr>
      <w:r w:rsidRPr="00115FE0">
        <w:rPr>
          <w:lang w:val="de-DE"/>
        </w:rPr>
        <w:t xml:space="preserve">Hartman, E., Van Royen‐Kerkhof, A., Jacobs, J., Welsing, P., &amp; Fritsch-Stork, R. (2018). Performance of the 2012 Systemic Lupus International Collaborating Clinics classification </w:t>
      </w:r>
      <w:r w:rsidRPr="00115FE0">
        <w:rPr>
          <w:lang w:val="de-DE"/>
        </w:rPr>
        <w:lastRenderedPageBreak/>
        <w:t xml:space="preserve">criteria versus the 1997 American College of Rheumatology classification criteria in adult and juvenile systemic lupus erythematosus. A systematic review and meta-analysis.. Autoimmunity reviews, 17 3, 316-322 . </w:t>
      </w:r>
      <w:r>
        <w:fldChar w:fldCharType="begin"/>
      </w:r>
      <w:r w:rsidRPr="00344104">
        <w:rPr>
          <w:lang w:val="de-DE"/>
        </w:rPr>
        <w:instrText>HYPERLINK "https://doi.org/10.1016/j.autrev.2018.01.007" \h</w:instrText>
      </w:r>
      <w:r>
        <w:fldChar w:fldCharType="separate"/>
      </w:r>
      <w:r w:rsidRPr="00115FE0">
        <w:rPr>
          <w:color w:val="1155CC"/>
          <w:u w:val="single"/>
          <w:lang w:val="de-DE"/>
        </w:rPr>
        <w:t>https://doi.org/10.1016/j.autrev.2018.01.007</w:t>
      </w:r>
      <w:r>
        <w:fldChar w:fldCharType="end"/>
      </w:r>
    </w:p>
    <w:p w14:paraId="34053D5B" w14:textId="77777777" w:rsidR="00817793" w:rsidRPr="00115FE0" w:rsidRDefault="002719FC">
      <w:pPr>
        <w:numPr>
          <w:ilvl w:val="0"/>
          <w:numId w:val="13"/>
        </w:numPr>
        <w:pBdr>
          <w:top w:val="nil"/>
          <w:left w:val="nil"/>
          <w:bottom w:val="nil"/>
          <w:right w:val="nil"/>
          <w:between w:val="nil"/>
        </w:pBdr>
        <w:spacing w:before="0" w:after="0"/>
        <w:ind w:left="714" w:hanging="357"/>
        <w:rPr>
          <w:lang w:val="de-DE"/>
        </w:rPr>
      </w:pPr>
      <w:r w:rsidRPr="00115FE0">
        <w:rPr>
          <w:lang w:val="de-DE"/>
        </w:rPr>
        <w:t xml:space="preserve">Shaban, A., &amp; Leira, E. (2019). Neurological Complications in Patients with Systemic Lupus Erythematosus. Current Neurology and Neuroscience Reports, 19. </w:t>
      </w:r>
      <w:r>
        <w:fldChar w:fldCharType="begin"/>
      </w:r>
      <w:r w:rsidRPr="00344104">
        <w:rPr>
          <w:lang w:val="de-DE"/>
        </w:rPr>
        <w:instrText>HYPERLINK "https://doi.org/10.1007/s11910-019-1012-1" \h</w:instrText>
      </w:r>
      <w:r>
        <w:fldChar w:fldCharType="separate"/>
      </w:r>
      <w:r w:rsidRPr="00115FE0">
        <w:rPr>
          <w:color w:val="1155CC"/>
          <w:u w:val="single"/>
          <w:lang w:val="de-DE"/>
        </w:rPr>
        <w:t>https://doi.org/10.1007/s11910-019-1012-1</w:t>
      </w:r>
      <w:r>
        <w:fldChar w:fldCharType="end"/>
      </w:r>
    </w:p>
    <w:p w14:paraId="7181693F" w14:textId="77777777" w:rsidR="00817793" w:rsidRDefault="002719FC">
      <w:pPr>
        <w:numPr>
          <w:ilvl w:val="0"/>
          <w:numId w:val="13"/>
        </w:numPr>
        <w:pBdr>
          <w:top w:val="nil"/>
          <w:left w:val="nil"/>
          <w:bottom w:val="nil"/>
          <w:right w:val="nil"/>
          <w:between w:val="nil"/>
        </w:pBdr>
        <w:spacing w:before="0" w:after="0"/>
        <w:ind w:left="714" w:hanging="357"/>
      </w:pPr>
      <w:r>
        <w:t xml:space="preserve">Fava, A., &amp; Petri, M. (2019).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Diagnosis</w:t>
      </w:r>
      <w:proofErr w:type="spellEnd"/>
      <w:r>
        <w:t xml:space="preserve"> </w:t>
      </w:r>
      <w:proofErr w:type="spellStart"/>
      <w:r>
        <w:t>and</w:t>
      </w:r>
      <w:proofErr w:type="spellEnd"/>
      <w:r>
        <w:t xml:space="preserve"> </w:t>
      </w:r>
      <w:proofErr w:type="spellStart"/>
      <w:r>
        <w:t>clinical</w:t>
      </w:r>
      <w:proofErr w:type="spellEnd"/>
      <w:r>
        <w:t xml:space="preserve"> </w:t>
      </w:r>
      <w:proofErr w:type="gramStart"/>
      <w:r>
        <w:t>management..</w:t>
      </w:r>
      <w:proofErr w:type="gramEnd"/>
      <w:r>
        <w:t xml:space="preserve"> </w:t>
      </w:r>
      <w:proofErr w:type="spellStart"/>
      <w:r>
        <w:t>Journal</w:t>
      </w:r>
      <w:proofErr w:type="spellEnd"/>
      <w:r>
        <w:t xml:space="preserve"> of </w:t>
      </w:r>
      <w:proofErr w:type="spellStart"/>
      <w:r>
        <w:t>autoimmunity</w:t>
      </w:r>
      <w:proofErr w:type="spellEnd"/>
      <w:r>
        <w:t>, 96, 1-</w:t>
      </w:r>
      <w:proofErr w:type="gramStart"/>
      <w:r>
        <w:t>13 .</w:t>
      </w:r>
      <w:proofErr w:type="gramEnd"/>
      <w:r>
        <w:t xml:space="preserve"> </w:t>
      </w:r>
      <w:hyperlink r:id="rId35">
        <w:r>
          <w:rPr>
            <w:color w:val="1155CC"/>
            <w:u w:val="single"/>
          </w:rPr>
          <w:t>https://doi.org/10.1016/j.jaut.2018.11.001</w:t>
        </w:r>
      </w:hyperlink>
    </w:p>
    <w:p w14:paraId="1A55E14F"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Steiger, S., Ehreiser, L., Anders, J., &amp; Anders, H. (2022). </w:t>
      </w:r>
      <w:proofErr w:type="spellStart"/>
      <w:r>
        <w:t>Biological</w:t>
      </w:r>
      <w:proofErr w:type="spellEnd"/>
      <w:r>
        <w:t xml:space="preserve"> </w:t>
      </w:r>
      <w:proofErr w:type="spellStart"/>
      <w:r>
        <w:t>drugs</w:t>
      </w:r>
      <w:proofErr w:type="spellEnd"/>
      <w:r>
        <w:t xml:space="preserve"> for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or</w:t>
      </w:r>
      <w:proofErr w:type="spellEnd"/>
      <w:r>
        <w:t xml:space="preserve"> </w:t>
      </w:r>
      <w:proofErr w:type="spellStart"/>
      <w:r>
        <w:t>active</w:t>
      </w:r>
      <w:proofErr w:type="spellEnd"/>
      <w:r>
        <w:t xml:space="preserve"> </w:t>
      </w:r>
      <w:proofErr w:type="spellStart"/>
      <w:r>
        <w:t>lupus</w:t>
      </w:r>
      <w:proofErr w:type="spellEnd"/>
      <w:r>
        <w:t xml:space="preserve"> </w:t>
      </w:r>
      <w:proofErr w:type="spellStart"/>
      <w:r>
        <w:t>nephritis</w:t>
      </w:r>
      <w:proofErr w:type="spellEnd"/>
      <w:r>
        <w:t xml:space="preserve"> </w:t>
      </w:r>
      <w:proofErr w:type="spellStart"/>
      <w:r>
        <w:t>and</w:t>
      </w:r>
      <w:proofErr w:type="spellEnd"/>
      <w:r>
        <w:t xml:space="preserve"> rates </w:t>
      </w:r>
      <w:proofErr w:type="spellStart"/>
      <w:r>
        <w:t>of</w:t>
      </w:r>
      <w:proofErr w:type="spellEnd"/>
      <w:r>
        <w:t xml:space="preserve"> </w:t>
      </w:r>
      <w:proofErr w:type="spellStart"/>
      <w:r>
        <w:t>infectious</w:t>
      </w:r>
      <w:proofErr w:type="spellEnd"/>
      <w:r>
        <w:t xml:space="preserve"> </w:t>
      </w:r>
      <w:proofErr w:type="spellStart"/>
      <w:r>
        <w:t>complications</w:t>
      </w:r>
      <w:proofErr w:type="spellEnd"/>
      <w:r>
        <w:t xml:space="preserve">. </w:t>
      </w:r>
      <w:proofErr w:type="spellStart"/>
      <w:r>
        <w:t>Evidence</w:t>
      </w:r>
      <w:proofErr w:type="spellEnd"/>
      <w:r>
        <w:t xml:space="preserve"> </w:t>
      </w:r>
      <w:proofErr w:type="spellStart"/>
      <w:r>
        <w:t>from</w:t>
      </w:r>
      <w:proofErr w:type="spellEnd"/>
      <w:r>
        <w:t xml:space="preserve"> </w:t>
      </w:r>
      <w:proofErr w:type="spellStart"/>
      <w:r>
        <w:t>large</w:t>
      </w:r>
      <w:proofErr w:type="spellEnd"/>
      <w:r>
        <w:t xml:space="preserve"> </w:t>
      </w:r>
      <w:proofErr w:type="spellStart"/>
      <w:r>
        <w:t>clinical</w:t>
      </w:r>
      <w:proofErr w:type="spellEnd"/>
      <w:r>
        <w:t xml:space="preserve"> </w:t>
      </w:r>
      <w:proofErr w:type="spellStart"/>
      <w:r>
        <w:t>trials</w:t>
      </w:r>
      <w:proofErr w:type="spellEnd"/>
      <w:r>
        <w:t xml:space="preserve">. </w:t>
      </w:r>
      <w:proofErr w:type="spellStart"/>
      <w:r>
        <w:t>Frontiers</w:t>
      </w:r>
      <w:proofErr w:type="spellEnd"/>
      <w:r>
        <w:t xml:space="preserve"> in </w:t>
      </w:r>
      <w:proofErr w:type="spellStart"/>
      <w:r>
        <w:t>Immunology</w:t>
      </w:r>
      <w:proofErr w:type="spellEnd"/>
      <w:r>
        <w:t xml:space="preserve">, 13. </w:t>
      </w:r>
      <w:hyperlink r:id="rId36">
        <w:r>
          <w:rPr>
            <w:color w:val="1155CC"/>
            <w:u w:val="single"/>
          </w:rPr>
          <w:t>https://doi.org/10.3389/fimmu.2022.999704</w:t>
        </w:r>
      </w:hyperlink>
    </w:p>
    <w:p w14:paraId="6CEA19BA" w14:textId="77777777" w:rsidR="00817793" w:rsidRDefault="002719FC">
      <w:pPr>
        <w:numPr>
          <w:ilvl w:val="0"/>
          <w:numId w:val="13"/>
        </w:numPr>
        <w:pBdr>
          <w:top w:val="nil"/>
          <w:left w:val="nil"/>
          <w:bottom w:val="nil"/>
          <w:right w:val="nil"/>
          <w:between w:val="nil"/>
        </w:pBdr>
        <w:spacing w:before="0" w:after="0"/>
        <w:ind w:left="714" w:hanging="357"/>
      </w:pPr>
      <w:proofErr w:type="spellStart"/>
      <w:r>
        <w:t>Gergianaki</w:t>
      </w:r>
      <w:proofErr w:type="spellEnd"/>
      <w:r>
        <w:t xml:space="preserve">, I., </w:t>
      </w:r>
      <w:proofErr w:type="spellStart"/>
      <w:r>
        <w:t>Garantziotis</w:t>
      </w:r>
      <w:proofErr w:type="spellEnd"/>
      <w:r>
        <w:t xml:space="preserve">, P., </w:t>
      </w:r>
      <w:proofErr w:type="spellStart"/>
      <w:r>
        <w:t>Adamichou</w:t>
      </w:r>
      <w:proofErr w:type="spellEnd"/>
      <w:r>
        <w:t xml:space="preserve">, C., </w:t>
      </w:r>
      <w:proofErr w:type="spellStart"/>
      <w:r>
        <w:t>Saridakis</w:t>
      </w:r>
      <w:proofErr w:type="spellEnd"/>
      <w:r>
        <w:t xml:space="preserve">, I., </w:t>
      </w:r>
      <w:proofErr w:type="spellStart"/>
      <w:r>
        <w:t>Spyrou</w:t>
      </w:r>
      <w:proofErr w:type="spellEnd"/>
      <w:r>
        <w:t xml:space="preserve">, G., </w:t>
      </w:r>
      <w:proofErr w:type="spellStart"/>
      <w:r>
        <w:t>Sidiropoulos</w:t>
      </w:r>
      <w:proofErr w:type="spellEnd"/>
      <w:r>
        <w:t xml:space="preserve">, P., &amp; </w:t>
      </w:r>
      <w:proofErr w:type="spellStart"/>
      <w:r>
        <w:t>Bertsias</w:t>
      </w:r>
      <w:proofErr w:type="spellEnd"/>
      <w:r>
        <w:t xml:space="preserve">, G. (2021). High </w:t>
      </w:r>
      <w:proofErr w:type="spellStart"/>
      <w:r>
        <w:t>Comorbidity</w:t>
      </w:r>
      <w:proofErr w:type="spellEnd"/>
      <w:r>
        <w:t xml:space="preserve"> </w:t>
      </w:r>
      <w:proofErr w:type="spellStart"/>
      <w:r>
        <w:t>Burden</w:t>
      </w:r>
      <w:proofErr w:type="spellEnd"/>
      <w:r>
        <w:t xml:space="preserve"> in </w:t>
      </w:r>
      <w:proofErr w:type="spellStart"/>
      <w:r>
        <w:t>Patients</w:t>
      </w:r>
      <w:proofErr w:type="spellEnd"/>
      <w:r>
        <w:t xml:space="preserve"> </w:t>
      </w:r>
      <w:proofErr w:type="spellStart"/>
      <w:r>
        <w:t>with</w:t>
      </w:r>
      <w:proofErr w:type="spellEnd"/>
      <w:r>
        <w:t xml:space="preserve"> SLE: Data </w:t>
      </w:r>
      <w:proofErr w:type="spellStart"/>
      <w:r>
        <w:t>from</w:t>
      </w:r>
      <w:proofErr w:type="spellEnd"/>
      <w:r>
        <w:t xml:space="preserve"> </w:t>
      </w:r>
      <w:proofErr w:type="spellStart"/>
      <w:r>
        <w:t>the</w:t>
      </w:r>
      <w:proofErr w:type="spellEnd"/>
      <w:r>
        <w:t xml:space="preserve"> Community-</w:t>
      </w:r>
      <w:proofErr w:type="spellStart"/>
      <w:r>
        <w:t>Based</w:t>
      </w:r>
      <w:proofErr w:type="spellEnd"/>
      <w:r>
        <w:t xml:space="preserve"> </w:t>
      </w:r>
      <w:proofErr w:type="spellStart"/>
      <w:r>
        <w:t>Lupus</w:t>
      </w:r>
      <w:proofErr w:type="spellEnd"/>
      <w:r>
        <w:t xml:space="preserve"> Registry </w:t>
      </w:r>
      <w:proofErr w:type="spellStart"/>
      <w:r>
        <w:t>of</w:t>
      </w:r>
      <w:proofErr w:type="spellEnd"/>
      <w:r>
        <w:t xml:space="preserve"> </w:t>
      </w:r>
      <w:proofErr w:type="spellStart"/>
      <w:r>
        <w:t>Crete</w:t>
      </w:r>
      <w:proofErr w:type="spellEnd"/>
      <w:r>
        <w:t xml:space="preserve">. </w:t>
      </w:r>
      <w:proofErr w:type="spellStart"/>
      <w:r>
        <w:t>Journal</w:t>
      </w:r>
      <w:proofErr w:type="spellEnd"/>
      <w:r>
        <w:t xml:space="preserve"> of Clinical Medicine, 10. </w:t>
      </w:r>
      <w:hyperlink r:id="rId37">
        <w:r>
          <w:rPr>
            <w:color w:val="1155CC"/>
            <w:u w:val="single"/>
          </w:rPr>
          <w:t>https://doi.org/10.3390/jcm10050998</w:t>
        </w:r>
      </w:hyperlink>
    </w:p>
    <w:p w14:paraId="7E9BA039"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Tian, J., Zhang, D., Yao, X., Huang, Y., &amp; Lu, Q. (2022). Global epidemiology of systemic lupus erythematosus: a comprehensive systematic analysis and modelling study. </w:t>
      </w:r>
      <w:proofErr w:type="spellStart"/>
      <w:r>
        <w:t>Annals</w:t>
      </w:r>
      <w:proofErr w:type="spellEnd"/>
      <w:r>
        <w:t xml:space="preserve"> </w:t>
      </w:r>
      <w:proofErr w:type="spellStart"/>
      <w:r>
        <w:t>of</w:t>
      </w:r>
      <w:proofErr w:type="spellEnd"/>
      <w:r>
        <w:t xml:space="preserve"> </w:t>
      </w:r>
      <w:proofErr w:type="spellStart"/>
      <w:r>
        <w:t>the</w:t>
      </w:r>
      <w:proofErr w:type="spellEnd"/>
      <w:r>
        <w:t xml:space="preserve"> </w:t>
      </w:r>
      <w:proofErr w:type="spellStart"/>
      <w:r>
        <w:t>Rheumatic</w:t>
      </w:r>
      <w:proofErr w:type="spellEnd"/>
      <w:r>
        <w:t xml:space="preserve"> </w:t>
      </w:r>
      <w:proofErr w:type="spellStart"/>
      <w:r>
        <w:t>Diseases</w:t>
      </w:r>
      <w:proofErr w:type="spellEnd"/>
      <w:r>
        <w:t xml:space="preserve">, 82, 351 - 356. </w:t>
      </w:r>
      <w:hyperlink r:id="rId38">
        <w:r>
          <w:rPr>
            <w:color w:val="1155CC"/>
            <w:u w:val="single"/>
          </w:rPr>
          <w:t>https://doi.org/10.1136/ard-2022-223035</w:t>
        </w:r>
      </w:hyperlink>
      <w:r>
        <w:t>.</w:t>
      </w:r>
    </w:p>
    <w:p w14:paraId="4B8BFD54"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Stojan, G., &amp; Petri, M. (2017). Epidemiology of systemic lupus erythematosus: an update. </w:t>
      </w:r>
      <w:proofErr w:type="spellStart"/>
      <w:r>
        <w:t>Current</w:t>
      </w:r>
      <w:proofErr w:type="spellEnd"/>
      <w:r>
        <w:t xml:space="preserve"> Opinion in </w:t>
      </w:r>
      <w:proofErr w:type="spellStart"/>
      <w:r>
        <w:t>Rheumatology</w:t>
      </w:r>
      <w:proofErr w:type="spellEnd"/>
      <w:r>
        <w:t xml:space="preserve">, 30, 144–150. </w:t>
      </w:r>
      <w:hyperlink r:id="rId39">
        <w:r>
          <w:rPr>
            <w:color w:val="1155CC"/>
            <w:u w:val="single"/>
          </w:rPr>
          <w:t>https://doi.org/10.1097/BOR.0000000000000480</w:t>
        </w:r>
      </w:hyperlink>
      <w:r>
        <w:t>.</w:t>
      </w:r>
    </w:p>
    <w:p w14:paraId="106B3C60" w14:textId="77777777" w:rsidR="00817793" w:rsidRDefault="002719FC">
      <w:pPr>
        <w:numPr>
          <w:ilvl w:val="0"/>
          <w:numId w:val="13"/>
        </w:numPr>
        <w:pBdr>
          <w:top w:val="nil"/>
          <w:left w:val="nil"/>
          <w:bottom w:val="nil"/>
          <w:right w:val="nil"/>
          <w:between w:val="nil"/>
        </w:pBdr>
        <w:spacing w:before="0" w:after="0"/>
        <w:ind w:left="714" w:hanging="357"/>
      </w:pPr>
      <w:r>
        <w:t>Ministério da Saúde. PORTARIA CONJUNTA No 21, de 01 de NOVEMBRO de 2022 2022. https://www.gov.br/saude/pt-br/assuntos/pcdt/arquivos/2022/portaria-conjunta-no-21-lupus-eritematoso-sistemico-1.pdf/ (Acesso em 08 março de 2025)</w:t>
      </w:r>
    </w:p>
    <w:p w14:paraId="233F3632" w14:textId="77777777" w:rsidR="00817793" w:rsidRDefault="002719FC">
      <w:pPr>
        <w:numPr>
          <w:ilvl w:val="0"/>
          <w:numId w:val="13"/>
        </w:numPr>
        <w:pBdr>
          <w:top w:val="nil"/>
          <w:left w:val="nil"/>
          <w:bottom w:val="nil"/>
          <w:right w:val="nil"/>
          <w:between w:val="nil"/>
        </w:pBdr>
        <w:spacing w:before="0" w:after="0"/>
        <w:ind w:left="714" w:hanging="357"/>
      </w:pPr>
      <w:r>
        <w:t>Pons-</w:t>
      </w:r>
      <w:proofErr w:type="spellStart"/>
      <w:r>
        <w:t>Estel</w:t>
      </w:r>
      <w:proofErr w:type="spellEnd"/>
      <w:r>
        <w:t xml:space="preserve">, B., Bonfá, E., Soriano, E., </w:t>
      </w:r>
      <w:proofErr w:type="spellStart"/>
      <w:r>
        <w:t>Cardiel</w:t>
      </w:r>
      <w:proofErr w:type="spellEnd"/>
      <w:r>
        <w:t xml:space="preserve">, M., </w:t>
      </w:r>
      <w:proofErr w:type="spellStart"/>
      <w:r>
        <w:t>Izcovich</w:t>
      </w:r>
      <w:proofErr w:type="spellEnd"/>
      <w:r>
        <w:t xml:space="preserve">, A., </w:t>
      </w:r>
      <w:proofErr w:type="spellStart"/>
      <w:r>
        <w:t>Popoff</w:t>
      </w:r>
      <w:proofErr w:type="spellEnd"/>
      <w:r>
        <w:t xml:space="preserve">, F., </w:t>
      </w:r>
      <w:proofErr w:type="spellStart"/>
      <w:r>
        <w:t>Criniti</w:t>
      </w:r>
      <w:proofErr w:type="spellEnd"/>
      <w:r>
        <w:t xml:space="preserve">, J., Vásquez, G., </w:t>
      </w:r>
      <w:proofErr w:type="spellStart"/>
      <w:r>
        <w:t>Massardo</w:t>
      </w:r>
      <w:proofErr w:type="spellEnd"/>
      <w:r>
        <w:t xml:space="preserve">, L., Duarte, M., </w:t>
      </w:r>
      <w:proofErr w:type="spellStart"/>
      <w:r>
        <w:t>Barile</w:t>
      </w:r>
      <w:proofErr w:type="spellEnd"/>
      <w:r>
        <w:t xml:space="preserve">-Fabris, L., García, M., Amigo, M., Espada, G., </w:t>
      </w:r>
      <w:proofErr w:type="spellStart"/>
      <w:r>
        <w:t>Catoggio</w:t>
      </w:r>
      <w:proofErr w:type="spellEnd"/>
      <w:r>
        <w:t xml:space="preserve">, L., Sato, E., Levy, R., Vásquez, E., </w:t>
      </w:r>
      <w:proofErr w:type="spellStart"/>
      <w:r>
        <w:t>Chacón</w:t>
      </w:r>
      <w:proofErr w:type="spellEnd"/>
      <w:r>
        <w:t xml:space="preserve">-Díaz, R., </w:t>
      </w:r>
      <w:proofErr w:type="spellStart"/>
      <w:r>
        <w:t>Galarza</w:t>
      </w:r>
      <w:proofErr w:type="spellEnd"/>
      <w:r>
        <w:t xml:space="preserve">-Maldonado, C., Gamarra, I., Molina, J., Neira, O., Silva, C., </w:t>
      </w:r>
      <w:proofErr w:type="spellStart"/>
      <w:r>
        <w:t>Peña</w:t>
      </w:r>
      <w:proofErr w:type="spellEnd"/>
      <w:r>
        <w:t>, A., Gómez-</w:t>
      </w:r>
      <w:proofErr w:type="spellStart"/>
      <w:r>
        <w:t>Puerta</w:t>
      </w:r>
      <w:proofErr w:type="spellEnd"/>
      <w:r>
        <w:t xml:space="preserve">, J., </w:t>
      </w:r>
      <w:proofErr w:type="spellStart"/>
      <w:r>
        <w:t>Scolnik</w:t>
      </w:r>
      <w:proofErr w:type="spellEnd"/>
      <w:r>
        <w:t>, M., Pons-</w:t>
      </w:r>
      <w:proofErr w:type="spellStart"/>
      <w:r>
        <w:t>Estel</w:t>
      </w:r>
      <w:proofErr w:type="spellEnd"/>
      <w:r>
        <w:t xml:space="preserve">, G., Ugolini-Lopes, M., Savio, V., </w:t>
      </w:r>
      <w:proofErr w:type="spellStart"/>
      <w:r>
        <w:t>Drenkard</w:t>
      </w:r>
      <w:proofErr w:type="spellEnd"/>
      <w:r>
        <w:t xml:space="preserve">, C., </w:t>
      </w:r>
      <w:proofErr w:type="spellStart"/>
      <w:r>
        <w:t>Alvarellos</w:t>
      </w:r>
      <w:proofErr w:type="spellEnd"/>
      <w:r>
        <w:t xml:space="preserve">, A., </w:t>
      </w:r>
      <w:proofErr w:type="spellStart"/>
      <w:r>
        <w:t>Ugarte</w:t>
      </w:r>
      <w:proofErr w:type="spellEnd"/>
      <w:r>
        <w:t xml:space="preserve">-Gil, M., </w:t>
      </w:r>
      <w:proofErr w:type="spellStart"/>
      <w:r>
        <w:t>Babini</w:t>
      </w:r>
      <w:proofErr w:type="spellEnd"/>
      <w:r>
        <w:t xml:space="preserve">, A., Cavalcanti, A., Linhares, F., Salinas, M., Fuentes-Silva, Y., De Oliveira E Silva, A., </w:t>
      </w:r>
      <w:proofErr w:type="spellStart"/>
      <w:r>
        <w:t>Garnica</w:t>
      </w:r>
      <w:proofErr w:type="spellEnd"/>
      <w:r>
        <w:t xml:space="preserve">, R., Uribe, S., Gómez-Martín, D., </w:t>
      </w:r>
      <w:proofErr w:type="spellStart"/>
      <w:r>
        <w:t>Sevrini</w:t>
      </w:r>
      <w:proofErr w:type="spellEnd"/>
      <w:r>
        <w:t xml:space="preserve">, R., </w:t>
      </w:r>
      <w:r>
        <w:lastRenderedPageBreak/>
        <w:t xml:space="preserve">Quintana, R., Gordon, S., Fragoso-Loyo, H., Rosario, V., </w:t>
      </w:r>
      <w:proofErr w:type="spellStart"/>
      <w:r>
        <w:t>Saurit</w:t>
      </w:r>
      <w:proofErr w:type="spellEnd"/>
      <w:r>
        <w:t xml:space="preserve">, V., </w:t>
      </w:r>
      <w:proofErr w:type="spellStart"/>
      <w:r>
        <w:t>Appenzeller</w:t>
      </w:r>
      <w:proofErr w:type="spellEnd"/>
      <w:r>
        <w:t xml:space="preserve">, S., Neto, E., </w:t>
      </w:r>
      <w:proofErr w:type="spellStart"/>
      <w:r>
        <w:t>Cieza</w:t>
      </w:r>
      <w:proofErr w:type="spellEnd"/>
      <w:r>
        <w:t xml:space="preserve">, J., </w:t>
      </w:r>
      <w:proofErr w:type="spellStart"/>
      <w:r>
        <w:t>Naranjo</w:t>
      </w:r>
      <w:proofErr w:type="spellEnd"/>
      <w:r>
        <w:t xml:space="preserve">, L., </w:t>
      </w:r>
      <w:proofErr w:type="spellStart"/>
      <w:r>
        <w:t>Bello</w:t>
      </w:r>
      <w:proofErr w:type="spellEnd"/>
      <w:r>
        <w:t xml:space="preserve">, Y., </w:t>
      </w:r>
      <w:proofErr w:type="spellStart"/>
      <w:r>
        <w:t>Collado</w:t>
      </w:r>
      <w:proofErr w:type="spellEnd"/>
      <w:r>
        <w:t xml:space="preserve">, M., </w:t>
      </w:r>
      <w:proofErr w:type="spellStart"/>
      <w:r>
        <w:t>Sarano</w:t>
      </w:r>
      <w:proofErr w:type="spellEnd"/>
      <w:r>
        <w:t xml:space="preserve">, J., </w:t>
      </w:r>
      <w:proofErr w:type="spellStart"/>
      <w:r>
        <w:t>Retamozo</w:t>
      </w:r>
      <w:proofErr w:type="spellEnd"/>
      <w:r>
        <w:t xml:space="preserve">, S., </w:t>
      </w:r>
      <w:proofErr w:type="spellStart"/>
      <w:r>
        <w:t>Sattler</w:t>
      </w:r>
      <w:proofErr w:type="spellEnd"/>
      <w:r>
        <w:t xml:space="preserve">, M., Gamboa-Cárdenas, R., </w:t>
      </w:r>
      <w:proofErr w:type="spellStart"/>
      <w:r>
        <w:t>Cairoli</w:t>
      </w:r>
      <w:proofErr w:type="spellEnd"/>
      <w:r>
        <w:t xml:space="preserve">, E., Conti, S., </w:t>
      </w:r>
      <w:proofErr w:type="spellStart"/>
      <w:r>
        <w:t>Amezcua</w:t>
      </w:r>
      <w:proofErr w:type="spellEnd"/>
      <w:r>
        <w:t xml:space="preserve">-Guerra, L., Silveira, L., Borba, E., Pera, M., Moreyra, P., </w:t>
      </w:r>
      <w:proofErr w:type="spellStart"/>
      <w:r>
        <w:t>Arturi</w:t>
      </w:r>
      <w:proofErr w:type="spellEnd"/>
      <w:r>
        <w:t xml:space="preserve">, V., </w:t>
      </w:r>
      <w:proofErr w:type="spellStart"/>
      <w:r>
        <w:t>Berbotto</w:t>
      </w:r>
      <w:proofErr w:type="spellEnd"/>
      <w:r>
        <w:t xml:space="preserve">, G., </w:t>
      </w:r>
      <w:proofErr w:type="spellStart"/>
      <w:r>
        <w:t>Gerling</w:t>
      </w:r>
      <w:proofErr w:type="spellEnd"/>
      <w:r>
        <w:t xml:space="preserve">, C., Gobbi, C., </w:t>
      </w:r>
      <w:proofErr w:type="spellStart"/>
      <w:r>
        <w:t>Gervasoni</w:t>
      </w:r>
      <w:proofErr w:type="spellEnd"/>
      <w:r>
        <w:t xml:space="preserve">, V., </w:t>
      </w:r>
      <w:proofErr w:type="spellStart"/>
      <w:r>
        <w:t>Scherbarth</w:t>
      </w:r>
      <w:proofErr w:type="spellEnd"/>
      <w:r>
        <w:t xml:space="preserve">, H., </w:t>
      </w:r>
      <w:proofErr w:type="spellStart"/>
      <w:r>
        <w:t>Brenol</w:t>
      </w:r>
      <w:proofErr w:type="spellEnd"/>
      <w:r>
        <w:t xml:space="preserve">, J., Cavalcanti, F., Costallat, L., Da Silva, N., </w:t>
      </w:r>
      <w:proofErr w:type="spellStart"/>
      <w:r>
        <w:t>Monticielo</w:t>
      </w:r>
      <w:proofErr w:type="spellEnd"/>
      <w:r>
        <w:t xml:space="preserve">, O., Seguro, L., Xavier, R., </w:t>
      </w:r>
      <w:proofErr w:type="spellStart"/>
      <w:r>
        <w:t>Llanos</w:t>
      </w:r>
      <w:proofErr w:type="spellEnd"/>
      <w:r>
        <w:t xml:space="preserve">, C., Guardado, R., De La Torre, G., Pineda, C., Hernández, P., </w:t>
      </w:r>
      <w:proofErr w:type="spellStart"/>
      <w:r>
        <w:t>Danza</w:t>
      </w:r>
      <w:proofErr w:type="spellEnd"/>
      <w:r>
        <w:t xml:space="preserve">, A., </w:t>
      </w:r>
      <w:proofErr w:type="spellStart"/>
      <w:r>
        <w:t>Guibert</w:t>
      </w:r>
      <w:proofErr w:type="spellEnd"/>
      <w:r>
        <w:t xml:space="preserve">-Toledano, M., Reyes, G., </w:t>
      </w:r>
      <w:proofErr w:type="spellStart"/>
      <w:r>
        <w:t>Colmán</w:t>
      </w:r>
      <w:proofErr w:type="spellEnd"/>
      <w:r>
        <w:t xml:space="preserve">, M., Aquino, A., Mora-Trujillo, C., </w:t>
      </w:r>
      <w:proofErr w:type="spellStart"/>
      <w:r>
        <w:t>Muñoz</w:t>
      </w:r>
      <w:proofErr w:type="spellEnd"/>
      <w:r>
        <w:t xml:space="preserve">-Louis, R., </w:t>
      </w:r>
      <w:proofErr w:type="spellStart"/>
      <w:r>
        <w:t>Valladares</w:t>
      </w:r>
      <w:proofErr w:type="spellEnd"/>
      <w:r>
        <w:t xml:space="preserve">, I., Orozco, M., Burgos, P., Betancur, G., &amp; Alarcón, G. (2018). </w:t>
      </w:r>
      <w:proofErr w:type="spellStart"/>
      <w:r>
        <w:t>First</w:t>
      </w:r>
      <w:proofErr w:type="spellEnd"/>
      <w:r>
        <w:t xml:space="preserve"> </w:t>
      </w:r>
      <w:proofErr w:type="spellStart"/>
      <w:r>
        <w:t>Latin</w:t>
      </w:r>
      <w:proofErr w:type="spellEnd"/>
      <w:r>
        <w:t xml:space="preserve"> American </w:t>
      </w:r>
      <w:proofErr w:type="spellStart"/>
      <w:r>
        <w:t>clinical</w:t>
      </w:r>
      <w:proofErr w:type="spellEnd"/>
      <w:r>
        <w:t xml:space="preserve"> </w:t>
      </w:r>
      <w:proofErr w:type="spellStart"/>
      <w:r>
        <w:t>practice</w:t>
      </w:r>
      <w:proofErr w:type="spellEnd"/>
      <w:r>
        <w:t xml:space="preserve"> </w:t>
      </w:r>
      <w:proofErr w:type="spellStart"/>
      <w:r>
        <w:t>guidelines</w:t>
      </w:r>
      <w:proofErr w:type="spellEnd"/>
      <w:r>
        <w:t xml:space="preserve"> for </w:t>
      </w:r>
      <w:proofErr w:type="spellStart"/>
      <w:r>
        <w:t>the</w:t>
      </w:r>
      <w:proofErr w:type="spellEnd"/>
      <w:r>
        <w:t xml:space="preserve"> </w:t>
      </w:r>
      <w:proofErr w:type="spellStart"/>
      <w:r>
        <w:t>treatment</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Latin</w:t>
      </w:r>
      <w:proofErr w:type="spellEnd"/>
      <w:r>
        <w:t xml:space="preserve"> American </w:t>
      </w:r>
      <w:proofErr w:type="spellStart"/>
      <w:r>
        <w:t>Group</w:t>
      </w:r>
      <w:proofErr w:type="spellEnd"/>
      <w:r>
        <w:t xml:space="preserve"> for </w:t>
      </w:r>
      <w:proofErr w:type="spellStart"/>
      <w:r>
        <w:t>the</w:t>
      </w:r>
      <w:proofErr w:type="spellEnd"/>
      <w:r>
        <w:t xml:space="preserve"> </w:t>
      </w:r>
      <w:proofErr w:type="spellStart"/>
      <w:r>
        <w:t>Study</w:t>
      </w:r>
      <w:proofErr w:type="spellEnd"/>
      <w:r>
        <w:t xml:space="preserve"> </w:t>
      </w:r>
      <w:proofErr w:type="spellStart"/>
      <w:r>
        <w:t>of</w:t>
      </w:r>
      <w:proofErr w:type="spellEnd"/>
      <w:r>
        <w:t xml:space="preserve"> </w:t>
      </w:r>
      <w:proofErr w:type="spellStart"/>
      <w:r>
        <w:t>Lupus</w:t>
      </w:r>
      <w:proofErr w:type="spellEnd"/>
      <w:r>
        <w:t xml:space="preserve"> (GLADEL, Grupo </w:t>
      </w:r>
      <w:proofErr w:type="gramStart"/>
      <w:r>
        <w:t>Latino Americano</w:t>
      </w:r>
      <w:proofErr w:type="gramEnd"/>
      <w:r>
        <w:t xml:space="preserve"> de Estudio </w:t>
      </w:r>
      <w:proofErr w:type="spellStart"/>
      <w:r>
        <w:t>del</w:t>
      </w:r>
      <w:proofErr w:type="spellEnd"/>
      <w:r>
        <w:t xml:space="preserve"> </w:t>
      </w:r>
      <w:proofErr w:type="spellStart"/>
      <w:proofErr w:type="gramStart"/>
      <w:r>
        <w:t>Lupus</w:t>
      </w:r>
      <w:proofErr w:type="spellEnd"/>
      <w:r>
        <w:t>)–</w:t>
      </w:r>
      <w:proofErr w:type="spellStart"/>
      <w:proofErr w:type="gramEnd"/>
      <w:r>
        <w:t>Pan-American</w:t>
      </w:r>
      <w:proofErr w:type="spellEnd"/>
      <w:r>
        <w:t xml:space="preserve"> League </w:t>
      </w:r>
      <w:proofErr w:type="spellStart"/>
      <w:r>
        <w:t>of</w:t>
      </w:r>
      <w:proofErr w:type="spellEnd"/>
      <w:r>
        <w:t xml:space="preserve"> </w:t>
      </w:r>
      <w:proofErr w:type="spellStart"/>
      <w:r>
        <w:t>Associations</w:t>
      </w:r>
      <w:proofErr w:type="spellEnd"/>
      <w:r>
        <w:t xml:space="preserve"> </w:t>
      </w:r>
      <w:proofErr w:type="spellStart"/>
      <w:r>
        <w:t>of</w:t>
      </w:r>
      <w:proofErr w:type="spellEnd"/>
      <w:r>
        <w:t xml:space="preserve"> </w:t>
      </w:r>
      <w:proofErr w:type="spellStart"/>
      <w:r>
        <w:t>Rheumatology</w:t>
      </w:r>
      <w:proofErr w:type="spellEnd"/>
      <w:r>
        <w:t xml:space="preserve"> (PANLAR). </w:t>
      </w:r>
      <w:proofErr w:type="spellStart"/>
      <w:r>
        <w:t>Annals</w:t>
      </w:r>
      <w:proofErr w:type="spellEnd"/>
      <w:r>
        <w:t xml:space="preserve"> </w:t>
      </w:r>
      <w:proofErr w:type="spellStart"/>
      <w:r>
        <w:t>of</w:t>
      </w:r>
      <w:proofErr w:type="spellEnd"/>
      <w:r>
        <w:t xml:space="preserve"> </w:t>
      </w:r>
      <w:proofErr w:type="spellStart"/>
      <w:r>
        <w:t>the</w:t>
      </w:r>
      <w:proofErr w:type="spellEnd"/>
      <w:r>
        <w:t xml:space="preserve"> </w:t>
      </w:r>
      <w:proofErr w:type="spellStart"/>
      <w:r>
        <w:t>Rheumatic</w:t>
      </w:r>
      <w:proofErr w:type="spellEnd"/>
      <w:r>
        <w:t xml:space="preserve"> </w:t>
      </w:r>
      <w:proofErr w:type="spellStart"/>
      <w:r>
        <w:t>Diseases</w:t>
      </w:r>
      <w:proofErr w:type="spellEnd"/>
      <w:r>
        <w:t xml:space="preserve">, 77, 1549 - 1557. </w:t>
      </w:r>
      <w:hyperlink r:id="rId40">
        <w:r>
          <w:rPr>
            <w:color w:val="1155CC"/>
            <w:u w:val="single"/>
          </w:rPr>
          <w:t>https://doi.org/10.1136/annrheumdis-2018-213512</w:t>
        </w:r>
      </w:hyperlink>
    </w:p>
    <w:p w14:paraId="5B3A578B" w14:textId="77777777" w:rsidR="00817793" w:rsidRDefault="002719FC">
      <w:pPr>
        <w:numPr>
          <w:ilvl w:val="0"/>
          <w:numId w:val="13"/>
        </w:numPr>
        <w:pBdr>
          <w:top w:val="nil"/>
          <w:left w:val="nil"/>
          <w:bottom w:val="nil"/>
          <w:right w:val="nil"/>
          <w:between w:val="nil"/>
        </w:pBdr>
        <w:spacing w:before="0" w:after="0"/>
        <w:ind w:left="714" w:hanging="357"/>
      </w:pPr>
      <w:proofErr w:type="spellStart"/>
      <w:r>
        <w:t>Koelmeyer</w:t>
      </w:r>
      <w:proofErr w:type="spellEnd"/>
      <w:r>
        <w:t xml:space="preserve"> R, Nim HT, </w:t>
      </w:r>
      <w:proofErr w:type="spellStart"/>
      <w:r>
        <w:t>Nikpour</w:t>
      </w:r>
      <w:proofErr w:type="spellEnd"/>
      <w:r>
        <w:t xml:space="preserve"> M, Sun YB, </w:t>
      </w:r>
      <w:proofErr w:type="spellStart"/>
      <w:r>
        <w:t>Kao</w:t>
      </w:r>
      <w:proofErr w:type="spellEnd"/>
      <w:r>
        <w:t xml:space="preserve"> A, Guenther O, et al. </w:t>
      </w:r>
      <w:r w:rsidRPr="00B47CA5">
        <w:rPr>
          <w:lang w:val="de-DE"/>
        </w:rPr>
        <w:t xml:space="preserve">High disease activity status suggests more severe disease and damage accrual in systemic lupus erythematosus. </w:t>
      </w:r>
      <w:proofErr w:type="spellStart"/>
      <w:r>
        <w:t>Lupus</w:t>
      </w:r>
      <w:proofErr w:type="spellEnd"/>
      <w:r>
        <w:t xml:space="preserve"> </w:t>
      </w:r>
      <w:proofErr w:type="spellStart"/>
      <w:r>
        <w:t>Sci</w:t>
      </w:r>
      <w:proofErr w:type="spellEnd"/>
      <w:r>
        <w:t xml:space="preserve"> Med 2020;7:e000372. </w:t>
      </w:r>
      <w:hyperlink r:id="rId41">
        <w:r>
          <w:rPr>
            <w:color w:val="1155CC"/>
            <w:u w:val="single"/>
          </w:rPr>
          <w:t>https://doi.org/10.1136/lupus-2019-000372</w:t>
        </w:r>
      </w:hyperlink>
      <w:r>
        <w:t>.</w:t>
      </w:r>
    </w:p>
    <w:p w14:paraId="25A4FFF2" w14:textId="77777777" w:rsidR="00817793" w:rsidRDefault="002719FC">
      <w:pPr>
        <w:numPr>
          <w:ilvl w:val="0"/>
          <w:numId w:val="13"/>
        </w:numPr>
        <w:pBdr>
          <w:top w:val="nil"/>
          <w:left w:val="nil"/>
          <w:bottom w:val="nil"/>
          <w:right w:val="nil"/>
          <w:between w:val="nil"/>
        </w:pBdr>
        <w:spacing w:before="0" w:after="0"/>
        <w:ind w:left="714" w:hanging="357"/>
      </w:pPr>
      <w:r>
        <w:t xml:space="preserve">AstraZeneca. </w:t>
      </w:r>
      <w:proofErr w:type="spellStart"/>
      <w:r>
        <w:t>Anifrolumab</w:t>
      </w:r>
      <w:proofErr w:type="spellEnd"/>
      <w:r>
        <w:t xml:space="preserve"> (</w:t>
      </w:r>
      <w:proofErr w:type="spellStart"/>
      <w:r>
        <w:t>Saphnelo</w:t>
      </w:r>
      <w:proofErr w:type="spellEnd"/>
      <w:r>
        <w:t xml:space="preserve">) </w:t>
      </w:r>
      <w:proofErr w:type="spellStart"/>
      <w:r>
        <w:t>Summary</w:t>
      </w:r>
      <w:proofErr w:type="spellEnd"/>
      <w:r>
        <w:t xml:space="preserve"> </w:t>
      </w:r>
      <w:proofErr w:type="spellStart"/>
      <w:r>
        <w:t>of</w:t>
      </w:r>
      <w:proofErr w:type="spellEnd"/>
      <w:r>
        <w:t xml:space="preserve"> </w:t>
      </w:r>
      <w:proofErr w:type="spellStart"/>
      <w:r>
        <w:t>Product</w:t>
      </w:r>
      <w:proofErr w:type="spellEnd"/>
      <w:r>
        <w:t xml:space="preserve"> </w:t>
      </w:r>
      <w:proofErr w:type="spellStart"/>
      <w:r>
        <w:t>Characteristics</w:t>
      </w:r>
      <w:proofErr w:type="spellEnd"/>
      <w:r>
        <w:t xml:space="preserve"> EMEA/H/C/004975 2022. </w:t>
      </w:r>
      <w:hyperlink r:id="rId42">
        <w:r>
          <w:rPr>
            <w:color w:val="1155CC"/>
            <w:u w:val="single"/>
          </w:rPr>
          <w:t>https://doi.org/https://www.ema.europa.eu/en/medicines/human/EPAR/saphnelo</w:t>
        </w:r>
      </w:hyperlink>
    </w:p>
    <w:p w14:paraId="1352A48F" w14:textId="77777777" w:rsidR="00817793" w:rsidRDefault="002719FC">
      <w:pPr>
        <w:numPr>
          <w:ilvl w:val="0"/>
          <w:numId w:val="13"/>
        </w:numPr>
        <w:pBdr>
          <w:top w:val="nil"/>
          <w:left w:val="nil"/>
          <w:bottom w:val="nil"/>
          <w:right w:val="nil"/>
          <w:between w:val="nil"/>
        </w:pBdr>
        <w:spacing w:before="0" w:after="0"/>
        <w:ind w:left="714" w:hanging="357"/>
      </w:pPr>
      <w:r>
        <w:t xml:space="preserve">Riggs JM, Hanna RN, Rajan B, </w:t>
      </w:r>
      <w:proofErr w:type="spellStart"/>
      <w:r>
        <w:t>Zerrouki</w:t>
      </w:r>
      <w:proofErr w:type="spellEnd"/>
      <w:r>
        <w:t xml:space="preserve"> K, </w:t>
      </w:r>
      <w:proofErr w:type="spellStart"/>
      <w:r>
        <w:t>Karnell</w:t>
      </w:r>
      <w:proofErr w:type="spellEnd"/>
      <w:r>
        <w:t xml:space="preserve"> JL, Sagar D, et al. </w:t>
      </w:r>
      <w:proofErr w:type="spellStart"/>
      <w:r>
        <w:t>Characterisation</w:t>
      </w:r>
      <w:proofErr w:type="spellEnd"/>
      <w:r>
        <w:t xml:space="preserve"> </w:t>
      </w:r>
      <w:proofErr w:type="spellStart"/>
      <w:r>
        <w:t>of</w:t>
      </w:r>
      <w:proofErr w:type="spellEnd"/>
      <w:r>
        <w:t xml:space="preserve"> </w:t>
      </w:r>
      <w:proofErr w:type="spellStart"/>
      <w:r>
        <w:t>anifrolumab</w:t>
      </w:r>
      <w:proofErr w:type="spellEnd"/>
      <w:r>
        <w:t xml:space="preserve">, a </w:t>
      </w:r>
      <w:proofErr w:type="spellStart"/>
      <w:r>
        <w:t>fully</w:t>
      </w:r>
      <w:proofErr w:type="spellEnd"/>
      <w:r>
        <w:t xml:space="preserve"> </w:t>
      </w:r>
      <w:proofErr w:type="spellStart"/>
      <w:r>
        <w:t>human</w:t>
      </w:r>
      <w:proofErr w:type="spellEnd"/>
      <w:r>
        <w:t xml:space="preserve"> </w:t>
      </w:r>
      <w:proofErr w:type="spellStart"/>
      <w:r>
        <w:t>anti-interferon</w:t>
      </w:r>
      <w:proofErr w:type="spellEnd"/>
      <w:r>
        <w:t xml:space="preserve"> receptor </w:t>
      </w:r>
      <w:proofErr w:type="spellStart"/>
      <w:r>
        <w:t>antagonist</w:t>
      </w:r>
      <w:proofErr w:type="spellEnd"/>
      <w:r>
        <w:t xml:space="preserve"> </w:t>
      </w:r>
      <w:proofErr w:type="spellStart"/>
      <w:r>
        <w:t>antibody</w:t>
      </w:r>
      <w:proofErr w:type="spellEnd"/>
      <w:r>
        <w:t xml:space="preserve"> for </w:t>
      </w:r>
      <w:proofErr w:type="spellStart"/>
      <w:r>
        <w:t>the</w:t>
      </w:r>
      <w:proofErr w:type="spellEnd"/>
      <w:r>
        <w:t xml:space="preserve"> </w:t>
      </w:r>
      <w:proofErr w:type="spellStart"/>
      <w:r>
        <w:t>treatment</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Lupus</w:t>
      </w:r>
      <w:proofErr w:type="spellEnd"/>
      <w:r>
        <w:t xml:space="preserve"> </w:t>
      </w:r>
      <w:proofErr w:type="spellStart"/>
      <w:r>
        <w:t>Sci</w:t>
      </w:r>
      <w:proofErr w:type="spellEnd"/>
      <w:r>
        <w:t xml:space="preserve"> Med 2018;5:e000261. </w:t>
      </w:r>
      <w:hyperlink r:id="rId43">
        <w:r>
          <w:rPr>
            <w:color w:val="1155CC"/>
            <w:u w:val="single"/>
          </w:rPr>
          <w:t>https://doi.org/10.1136/lupus-2018-000261</w:t>
        </w:r>
      </w:hyperlink>
      <w:r>
        <w:t>.</w:t>
      </w:r>
    </w:p>
    <w:p w14:paraId="543A8EBE" w14:textId="77777777" w:rsidR="00817793" w:rsidRDefault="002719FC">
      <w:pPr>
        <w:numPr>
          <w:ilvl w:val="0"/>
          <w:numId w:val="13"/>
        </w:numPr>
        <w:pBdr>
          <w:top w:val="nil"/>
          <w:left w:val="nil"/>
          <w:bottom w:val="nil"/>
          <w:right w:val="nil"/>
          <w:between w:val="nil"/>
        </w:pBdr>
        <w:spacing w:before="0" w:after="0"/>
        <w:ind w:left="714" w:hanging="357"/>
      </w:pPr>
      <w:proofErr w:type="spellStart"/>
      <w:r>
        <w:t>Furie</w:t>
      </w:r>
      <w:proofErr w:type="spellEnd"/>
      <w:r>
        <w:t xml:space="preserve"> R, </w:t>
      </w:r>
      <w:proofErr w:type="spellStart"/>
      <w:r>
        <w:t>Khamashta</w:t>
      </w:r>
      <w:proofErr w:type="spellEnd"/>
      <w:r>
        <w:t xml:space="preserve"> M, Merrill JT, </w:t>
      </w:r>
      <w:proofErr w:type="spellStart"/>
      <w:r>
        <w:t>Werth</w:t>
      </w:r>
      <w:proofErr w:type="spellEnd"/>
      <w:r>
        <w:t xml:space="preserve"> VP, </w:t>
      </w:r>
      <w:proofErr w:type="spellStart"/>
      <w:r>
        <w:t>Kalunian</w:t>
      </w:r>
      <w:proofErr w:type="spellEnd"/>
      <w:r>
        <w:t xml:space="preserve"> K, </w:t>
      </w:r>
      <w:proofErr w:type="spellStart"/>
      <w:r>
        <w:t>Brohawn</w:t>
      </w:r>
      <w:proofErr w:type="spellEnd"/>
      <w:r>
        <w:t xml:space="preserve"> P, et al. </w:t>
      </w:r>
      <w:proofErr w:type="spellStart"/>
      <w:r>
        <w:t>Anifrolumab</w:t>
      </w:r>
      <w:proofErr w:type="spellEnd"/>
      <w:r>
        <w:t xml:space="preserve">, </w:t>
      </w:r>
      <w:proofErr w:type="spellStart"/>
      <w:r>
        <w:t>an</w:t>
      </w:r>
      <w:proofErr w:type="spellEnd"/>
      <w:r>
        <w:t xml:space="preserve"> </w:t>
      </w:r>
      <w:proofErr w:type="spellStart"/>
      <w:r>
        <w:t>Anti</w:t>
      </w:r>
      <w:proofErr w:type="spellEnd"/>
      <w:r>
        <w:t xml:space="preserve">–Interferon‐α Receptor Monoclonal </w:t>
      </w:r>
      <w:proofErr w:type="spellStart"/>
      <w:r>
        <w:t>Antibody</w:t>
      </w:r>
      <w:proofErr w:type="spellEnd"/>
      <w:r>
        <w:t xml:space="preserve">, in </w:t>
      </w:r>
      <w:proofErr w:type="spellStart"/>
      <w:r>
        <w:t>Moderate‐to‐Severe</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w:t>
      </w:r>
      <w:proofErr w:type="spellStart"/>
      <w:r>
        <w:t>Arthritis</w:t>
      </w:r>
      <w:proofErr w:type="spellEnd"/>
      <w:r>
        <w:t xml:space="preserve"> &amp; </w:t>
      </w:r>
      <w:proofErr w:type="spellStart"/>
      <w:r>
        <w:t>Rheumatology</w:t>
      </w:r>
      <w:proofErr w:type="spellEnd"/>
      <w:r>
        <w:t xml:space="preserve"> </w:t>
      </w:r>
      <w:proofErr w:type="gramStart"/>
      <w:r>
        <w:t>2017;69:376</w:t>
      </w:r>
      <w:proofErr w:type="gramEnd"/>
      <w:r>
        <w:t>–86. https://doi.org/10.1002/art.39962.</w:t>
      </w:r>
    </w:p>
    <w:p w14:paraId="3D0868FC"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Lichtman EI, Helfgott SM, Kriegel MA. Emerging therapies for systemic lupus erythematosus — Focus on targeting interferon-alpha. </w:t>
      </w:r>
      <w:r>
        <w:t xml:space="preserve">Clinical </w:t>
      </w:r>
      <w:proofErr w:type="spellStart"/>
      <w:r>
        <w:t>Immunology</w:t>
      </w:r>
      <w:proofErr w:type="spellEnd"/>
      <w:r>
        <w:t xml:space="preserve"> </w:t>
      </w:r>
      <w:proofErr w:type="gramStart"/>
      <w:r>
        <w:t>2012;143:210</w:t>
      </w:r>
      <w:proofErr w:type="gramEnd"/>
      <w:r>
        <w:t>–21. https://doi.org/10.1016/j.clim.2012.03.005.</w:t>
      </w:r>
    </w:p>
    <w:p w14:paraId="4599A25E"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Mok, C., &amp; Lau, C. (2003). Pathogenesis of systemic lupus erythematosus. </w:t>
      </w:r>
      <w:proofErr w:type="spellStart"/>
      <w:r>
        <w:t>Journal</w:t>
      </w:r>
      <w:proofErr w:type="spellEnd"/>
      <w:r>
        <w:t xml:space="preserve"> </w:t>
      </w:r>
      <w:proofErr w:type="spellStart"/>
      <w:r>
        <w:t>of</w:t>
      </w:r>
      <w:proofErr w:type="spellEnd"/>
      <w:r>
        <w:t xml:space="preserve"> Clinical </w:t>
      </w:r>
      <w:proofErr w:type="spellStart"/>
      <w:r>
        <w:t>Pathology</w:t>
      </w:r>
      <w:proofErr w:type="spellEnd"/>
      <w:r>
        <w:t xml:space="preserve">, 56, 481 - 490. </w:t>
      </w:r>
      <w:hyperlink r:id="rId44">
        <w:r>
          <w:rPr>
            <w:color w:val="1155CC"/>
            <w:u w:val="single"/>
          </w:rPr>
          <w:t>https://doi.org/10.1136/jcp.56.7.481</w:t>
        </w:r>
      </w:hyperlink>
      <w:r>
        <w:t>.</w:t>
      </w:r>
    </w:p>
    <w:p w14:paraId="2D709304" w14:textId="77777777" w:rsidR="00817793" w:rsidRDefault="002719FC">
      <w:pPr>
        <w:numPr>
          <w:ilvl w:val="0"/>
          <w:numId w:val="13"/>
        </w:numPr>
        <w:pBdr>
          <w:top w:val="nil"/>
          <w:left w:val="nil"/>
          <w:bottom w:val="nil"/>
          <w:right w:val="nil"/>
          <w:between w:val="nil"/>
        </w:pBdr>
        <w:spacing w:before="0" w:after="0"/>
        <w:ind w:left="714" w:hanging="357"/>
      </w:pPr>
      <w:proofErr w:type="spellStart"/>
      <w:r>
        <w:lastRenderedPageBreak/>
        <w:t>Furie</w:t>
      </w:r>
      <w:proofErr w:type="spellEnd"/>
      <w:r>
        <w:t xml:space="preserve"> RA, Morand EF, Bruce IN, Manzi S, </w:t>
      </w:r>
      <w:proofErr w:type="spellStart"/>
      <w:r>
        <w:t>Kalunian</w:t>
      </w:r>
      <w:proofErr w:type="spellEnd"/>
      <w:r>
        <w:t xml:space="preserve"> KC, Vital </w:t>
      </w:r>
      <w:proofErr w:type="gramStart"/>
      <w:r>
        <w:t>EM, et</w:t>
      </w:r>
      <w:proofErr w:type="gramEnd"/>
      <w:r>
        <w:t xml:space="preserve"> al. </w:t>
      </w:r>
      <w:proofErr w:type="spellStart"/>
      <w:r>
        <w:t>Type</w:t>
      </w:r>
      <w:proofErr w:type="spellEnd"/>
      <w:r>
        <w:t xml:space="preserve"> I interferon </w:t>
      </w:r>
      <w:proofErr w:type="spellStart"/>
      <w:r>
        <w:t>inhibitor</w:t>
      </w:r>
      <w:proofErr w:type="spellEnd"/>
      <w:r>
        <w:t xml:space="preserve"> </w:t>
      </w:r>
      <w:proofErr w:type="spellStart"/>
      <w:r>
        <w:t>anifrolumab</w:t>
      </w:r>
      <w:proofErr w:type="spellEnd"/>
      <w:r>
        <w:t xml:space="preserve"> in </w:t>
      </w:r>
      <w:proofErr w:type="spellStart"/>
      <w:r>
        <w:t>active</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(TULIP-1): a </w:t>
      </w:r>
      <w:proofErr w:type="spellStart"/>
      <w:r>
        <w:t>randomised</w:t>
      </w:r>
      <w:proofErr w:type="spellEnd"/>
      <w:r>
        <w:t xml:space="preserve">, </w:t>
      </w:r>
      <w:proofErr w:type="spellStart"/>
      <w:r>
        <w:t>controlled</w:t>
      </w:r>
      <w:proofErr w:type="spellEnd"/>
      <w:r>
        <w:t xml:space="preserve">, </w:t>
      </w:r>
      <w:proofErr w:type="spellStart"/>
      <w:r>
        <w:t>phase</w:t>
      </w:r>
      <w:proofErr w:type="spellEnd"/>
      <w:r>
        <w:t xml:space="preserve"> 3 </w:t>
      </w:r>
      <w:proofErr w:type="spellStart"/>
      <w:r>
        <w:t>trial</w:t>
      </w:r>
      <w:proofErr w:type="spellEnd"/>
      <w:r>
        <w:t xml:space="preserve">. Lancet </w:t>
      </w:r>
      <w:proofErr w:type="spellStart"/>
      <w:r>
        <w:t>Rheumatol</w:t>
      </w:r>
      <w:proofErr w:type="spellEnd"/>
      <w:r>
        <w:t xml:space="preserve"> 2019;1:e208–19. </w:t>
      </w:r>
      <w:hyperlink r:id="rId45">
        <w:r>
          <w:rPr>
            <w:color w:val="1155CC"/>
            <w:u w:val="single"/>
          </w:rPr>
          <w:t>https://doi.org/10.1016/S2665-9913(19)30076-1</w:t>
        </w:r>
      </w:hyperlink>
      <w:r>
        <w:t>.</w:t>
      </w:r>
    </w:p>
    <w:p w14:paraId="701B642A"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Morand EF, Furie R, Tanaka Y, Bruce IN, Askanase AD, Richez C, et al. Trial of Anifrolumab in Active Systemic Lupus Erythematosus. New England Journal of Medicine 2020;382:211–21. </w:t>
      </w:r>
      <w:r>
        <w:fldChar w:fldCharType="begin"/>
      </w:r>
      <w:r w:rsidRPr="00344104">
        <w:rPr>
          <w:lang w:val="de-DE"/>
        </w:rPr>
        <w:instrText>HYPERLINK "https://doi.org/10.1056/NEJMoa1912196" \h</w:instrText>
      </w:r>
      <w:r>
        <w:fldChar w:fldCharType="separate"/>
      </w:r>
      <w:r>
        <w:rPr>
          <w:color w:val="1155CC"/>
          <w:u w:val="single"/>
        </w:rPr>
        <w:t>https://doi.org/10.1056/NEJMoa1912196</w:t>
      </w:r>
      <w:r>
        <w:fldChar w:fldCharType="end"/>
      </w:r>
      <w:r>
        <w:t>.</w:t>
      </w:r>
    </w:p>
    <w:p w14:paraId="53ADCDCC"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Kalunian KC, Furie R, Morand EF, Bruce IN, Manzi S, Tanaka Y, et al. A Randomized, Placebo-Controlled Phase III Extension Trial of the Long-Term Safety and Tolerability of Anifrolumab in Active Systemic Lupus Erythematosus. </w:t>
      </w:r>
      <w:proofErr w:type="spellStart"/>
      <w:r>
        <w:t>Arthritis</w:t>
      </w:r>
      <w:proofErr w:type="spellEnd"/>
      <w:r>
        <w:t xml:space="preserve"> &amp; </w:t>
      </w:r>
      <w:proofErr w:type="spellStart"/>
      <w:r>
        <w:t>Rheumatology</w:t>
      </w:r>
      <w:proofErr w:type="spellEnd"/>
      <w:r>
        <w:t xml:space="preserve"> </w:t>
      </w:r>
      <w:proofErr w:type="gramStart"/>
      <w:r>
        <w:t>2023;75:253</w:t>
      </w:r>
      <w:proofErr w:type="gramEnd"/>
      <w:r>
        <w:t>–65. https://doi.org/10.1002/art.42392.</w:t>
      </w:r>
    </w:p>
    <w:p w14:paraId="55222513" w14:textId="77777777" w:rsidR="00817793" w:rsidRDefault="002719FC">
      <w:pPr>
        <w:numPr>
          <w:ilvl w:val="0"/>
          <w:numId w:val="13"/>
        </w:numPr>
        <w:spacing w:before="0" w:after="0"/>
      </w:pPr>
      <w:r>
        <w:t xml:space="preserve">Abreu, M. et al. POS1430 </w:t>
      </w:r>
      <w:proofErr w:type="spellStart"/>
      <w:r>
        <w:t>Epidemiology</w:t>
      </w:r>
      <w:proofErr w:type="spellEnd"/>
      <w:r>
        <w:t xml:space="preserve"> </w:t>
      </w:r>
      <w:proofErr w:type="spellStart"/>
      <w:r>
        <w:t>of</w:t>
      </w:r>
      <w:proofErr w:type="spellEnd"/>
      <w:r>
        <w:t xml:space="preserve"> </w:t>
      </w:r>
      <w:proofErr w:type="spellStart"/>
      <w:r>
        <w:t>lupus</w:t>
      </w:r>
      <w:proofErr w:type="spellEnd"/>
      <w:r>
        <w:t xml:space="preserve"> </w:t>
      </w:r>
      <w:proofErr w:type="spellStart"/>
      <w:r>
        <w:t>nephritis</w:t>
      </w:r>
      <w:proofErr w:type="spellEnd"/>
      <w:r>
        <w:t xml:space="preserve"> in </w:t>
      </w:r>
      <w:proofErr w:type="spellStart"/>
      <w:r>
        <w:t>Brazil</w:t>
      </w:r>
      <w:proofErr w:type="spellEnd"/>
      <w:r>
        <w:t xml:space="preserve">: </w:t>
      </w:r>
      <w:proofErr w:type="spellStart"/>
      <w:r>
        <w:t>findings</w:t>
      </w:r>
      <w:proofErr w:type="spellEnd"/>
      <w:r>
        <w:t xml:space="preserve"> </w:t>
      </w:r>
      <w:proofErr w:type="spellStart"/>
      <w:r>
        <w:t>from</w:t>
      </w:r>
      <w:proofErr w:type="spellEnd"/>
      <w:r>
        <w:t xml:space="preserve"> </w:t>
      </w:r>
      <w:proofErr w:type="spellStart"/>
      <w:r>
        <w:t>the</w:t>
      </w:r>
      <w:proofErr w:type="spellEnd"/>
      <w:r>
        <w:t xml:space="preserve"> Macunaíma </w:t>
      </w:r>
      <w:proofErr w:type="spellStart"/>
      <w:r>
        <w:t>study-a</w:t>
      </w:r>
      <w:proofErr w:type="spellEnd"/>
      <w:r>
        <w:t xml:space="preserve"> </w:t>
      </w:r>
      <w:proofErr w:type="spellStart"/>
      <w:r>
        <w:t>nationwide</w:t>
      </w:r>
      <w:proofErr w:type="spellEnd"/>
      <w:r>
        <w:t xml:space="preserve"> </w:t>
      </w:r>
      <w:proofErr w:type="spellStart"/>
      <w:r>
        <w:t>multicentric</w:t>
      </w:r>
      <w:proofErr w:type="spellEnd"/>
      <w:r>
        <w:t xml:space="preserve"> </w:t>
      </w:r>
      <w:proofErr w:type="spellStart"/>
      <w:r>
        <w:t>study</w:t>
      </w:r>
      <w:proofErr w:type="spellEnd"/>
      <w:r>
        <w:t>. 2021.</w:t>
      </w:r>
    </w:p>
    <w:p w14:paraId="5313C715" w14:textId="77777777" w:rsidR="00817793" w:rsidRDefault="002719FC">
      <w:pPr>
        <w:numPr>
          <w:ilvl w:val="0"/>
          <w:numId w:val="13"/>
        </w:numPr>
        <w:spacing w:before="0" w:after="0"/>
      </w:pPr>
      <w:r>
        <w:t xml:space="preserve">Tian J, Zhang D, Yao X, Huang Y, Lu Q. Global </w:t>
      </w:r>
      <w:proofErr w:type="spellStart"/>
      <w:r>
        <w:t>epidemiology</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a </w:t>
      </w:r>
      <w:proofErr w:type="spellStart"/>
      <w:r>
        <w:t>comprehensive</w:t>
      </w:r>
      <w:proofErr w:type="spellEnd"/>
      <w:r>
        <w:t xml:space="preserve"> </w:t>
      </w:r>
      <w:proofErr w:type="spellStart"/>
      <w:r>
        <w:t>systematic</w:t>
      </w:r>
      <w:proofErr w:type="spellEnd"/>
      <w:r>
        <w:t xml:space="preserve"> </w:t>
      </w:r>
      <w:proofErr w:type="spellStart"/>
      <w:r>
        <w:t>analysis</w:t>
      </w:r>
      <w:proofErr w:type="spellEnd"/>
      <w:r>
        <w:t xml:space="preserve"> </w:t>
      </w:r>
      <w:proofErr w:type="spellStart"/>
      <w:r>
        <w:t>and</w:t>
      </w:r>
      <w:proofErr w:type="spellEnd"/>
      <w:r>
        <w:t xml:space="preserve"> </w:t>
      </w:r>
      <w:proofErr w:type="spellStart"/>
      <w:r>
        <w:t>modelling</w:t>
      </w:r>
      <w:proofErr w:type="spellEnd"/>
      <w:r>
        <w:t xml:space="preserve"> </w:t>
      </w:r>
      <w:proofErr w:type="spellStart"/>
      <w:r>
        <w:t>study</w:t>
      </w:r>
      <w:proofErr w:type="spellEnd"/>
      <w:r>
        <w:t xml:space="preserve">. Ann </w:t>
      </w:r>
      <w:proofErr w:type="spellStart"/>
      <w:r>
        <w:t>Rheum</w:t>
      </w:r>
      <w:proofErr w:type="spellEnd"/>
      <w:r>
        <w:t xml:space="preserve"> </w:t>
      </w:r>
      <w:proofErr w:type="spellStart"/>
      <w:r>
        <w:t>Dis</w:t>
      </w:r>
      <w:proofErr w:type="spellEnd"/>
      <w:r>
        <w:t xml:space="preserve">. 2023 Mar;82(3):351-356. </w:t>
      </w:r>
      <w:proofErr w:type="spellStart"/>
      <w:r>
        <w:t>doi</w:t>
      </w:r>
      <w:proofErr w:type="spellEnd"/>
      <w:r>
        <w:t xml:space="preserve">: 10.1136/ard-2022-223035. </w:t>
      </w:r>
      <w:proofErr w:type="spellStart"/>
      <w:r>
        <w:t>Epub</w:t>
      </w:r>
      <w:proofErr w:type="spellEnd"/>
      <w:r>
        <w:t xml:space="preserve"> 2022 </w:t>
      </w:r>
      <w:proofErr w:type="spellStart"/>
      <w:r>
        <w:t>Oct</w:t>
      </w:r>
      <w:proofErr w:type="spellEnd"/>
      <w:r>
        <w:t xml:space="preserve"> 14. PMID: 36241363; PMCID: PMC9933169.</w:t>
      </w:r>
    </w:p>
    <w:p w14:paraId="4EB8A84E" w14:textId="77777777" w:rsidR="00817793" w:rsidRDefault="002719FC">
      <w:pPr>
        <w:numPr>
          <w:ilvl w:val="0"/>
          <w:numId w:val="13"/>
        </w:numPr>
        <w:spacing w:before="0" w:after="0"/>
      </w:pPr>
      <w:r>
        <w:t xml:space="preserve">Pereira Vilar MJ, Sato EI. </w:t>
      </w:r>
      <w:proofErr w:type="spellStart"/>
      <w:r>
        <w:t>Estimating</w:t>
      </w:r>
      <w:proofErr w:type="spellEnd"/>
      <w:r>
        <w:t xml:space="preserve"> </w:t>
      </w:r>
      <w:proofErr w:type="spellStart"/>
      <w:r>
        <w:t>the</w:t>
      </w:r>
      <w:proofErr w:type="spellEnd"/>
      <w:r>
        <w:t xml:space="preserve"> </w:t>
      </w:r>
      <w:proofErr w:type="spellStart"/>
      <w:r>
        <w:t>incidence</w:t>
      </w:r>
      <w:proofErr w:type="spellEnd"/>
      <w:r>
        <w:t xml:space="preserve"> </w:t>
      </w:r>
      <w:proofErr w:type="spellStart"/>
      <w:r>
        <w:t>of</w:t>
      </w:r>
      <w:proofErr w:type="spellEnd"/>
      <w:r>
        <w:t xml:space="preserve"> </w:t>
      </w:r>
      <w:proofErr w:type="spellStart"/>
      <w:r>
        <w:t>systemic</w:t>
      </w:r>
      <w:proofErr w:type="spellEnd"/>
      <w:r>
        <w:t xml:space="preserve"> </w:t>
      </w:r>
      <w:proofErr w:type="spellStart"/>
      <w:r>
        <w:t>lupus</w:t>
      </w:r>
      <w:proofErr w:type="spellEnd"/>
      <w:r>
        <w:t xml:space="preserve"> </w:t>
      </w:r>
      <w:proofErr w:type="spellStart"/>
      <w:r>
        <w:t>erythematosus</w:t>
      </w:r>
      <w:proofErr w:type="spellEnd"/>
      <w:r>
        <w:t xml:space="preserve"> in a tropical </w:t>
      </w:r>
      <w:proofErr w:type="spellStart"/>
      <w:r>
        <w:t>region</w:t>
      </w:r>
      <w:proofErr w:type="spellEnd"/>
      <w:r>
        <w:t xml:space="preserve"> (Natal, </w:t>
      </w:r>
      <w:proofErr w:type="spellStart"/>
      <w:r>
        <w:t>Brazil</w:t>
      </w:r>
      <w:proofErr w:type="spellEnd"/>
      <w:r>
        <w:t xml:space="preserve">). </w:t>
      </w:r>
      <w:proofErr w:type="spellStart"/>
      <w:r>
        <w:t>Lupus</w:t>
      </w:r>
      <w:proofErr w:type="spellEnd"/>
      <w:r>
        <w:t>. 2002;11(8):528–32.</w:t>
      </w:r>
    </w:p>
    <w:p w14:paraId="10A81026" w14:textId="77777777" w:rsidR="00817793" w:rsidRDefault="002719FC">
      <w:pPr>
        <w:numPr>
          <w:ilvl w:val="0"/>
          <w:numId w:val="13"/>
        </w:numPr>
        <w:spacing w:before="0" w:after="0"/>
      </w:pPr>
      <w:r w:rsidRPr="00115FE0">
        <w:rPr>
          <w:lang w:val="de-DE"/>
        </w:rPr>
        <w:t xml:space="preserve">Al Sawah S, Zhang X, Zhu B, et al. Effect of corticosteroid use by dose on the risk of developing organ damage over time in systemic lupus erythematosus—the Hopkins Lupus Cohort. </w:t>
      </w:r>
      <w:proofErr w:type="spellStart"/>
      <w:r>
        <w:t>Lupus</w:t>
      </w:r>
      <w:proofErr w:type="spellEnd"/>
      <w:r>
        <w:t xml:space="preserve"> Science &amp; Medicine 2015;2:e000066. doi:10.1136/lupus-2014-000066. </w:t>
      </w:r>
    </w:p>
    <w:p w14:paraId="15E8D83E" w14:textId="77777777" w:rsidR="00817793" w:rsidRDefault="002719FC">
      <w:pPr>
        <w:numPr>
          <w:ilvl w:val="0"/>
          <w:numId w:val="13"/>
        </w:numPr>
        <w:spacing w:before="0" w:after="0"/>
      </w:pPr>
      <w:r>
        <w:t xml:space="preserve">dos Reis MG, da Costa IP. </w:t>
      </w:r>
      <w:r w:rsidRPr="00115FE0">
        <w:rPr>
          <w:lang w:val="de-DE"/>
        </w:rPr>
        <w:t xml:space="preserve">Health-related quality of life in patients with systemic lupus erythematosus in Midwest Brazil. </w:t>
      </w:r>
      <w:proofErr w:type="spellStart"/>
      <w:r>
        <w:t>Rev</w:t>
      </w:r>
      <w:proofErr w:type="spellEnd"/>
      <w:r>
        <w:t xml:space="preserve"> </w:t>
      </w:r>
      <w:proofErr w:type="spellStart"/>
      <w:r>
        <w:t>Bras</w:t>
      </w:r>
      <w:proofErr w:type="spellEnd"/>
      <w:r>
        <w:t xml:space="preserve"> </w:t>
      </w:r>
      <w:proofErr w:type="spellStart"/>
      <w:r>
        <w:t>Reumatol</w:t>
      </w:r>
      <w:proofErr w:type="spellEnd"/>
      <w:r>
        <w:t xml:space="preserve"> </w:t>
      </w:r>
      <w:proofErr w:type="gramStart"/>
      <w:r>
        <w:t>2010;50:408</w:t>
      </w:r>
      <w:proofErr w:type="gramEnd"/>
      <w:r>
        <w:t>–22.</w:t>
      </w:r>
    </w:p>
    <w:p w14:paraId="35393BAD" w14:textId="77777777" w:rsidR="00817793" w:rsidRDefault="002719FC">
      <w:pPr>
        <w:numPr>
          <w:ilvl w:val="0"/>
          <w:numId w:val="13"/>
        </w:numPr>
        <w:spacing w:before="0" w:after="0"/>
      </w:pPr>
      <w:r w:rsidRPr="00115FE0">
        <w:rPr>
          <w:lang w:val="de-DE"/>
        </w:rPr>
        <w:t xml:space="preserve">Werth V, Furie R, Morand E, Kahlenberg M, Kalyani R, Abreu G, et al. Early and Sustained Reduction in Severity of Skin Disease with Anifrolumab Treatment in Patients with Active SLE Measured by the Cutaneous Lupus Erythematosus Disease Area and Severity Index (CLASI): Pooled Data from 2 Phase 3 Studies. </w:t>
      </w:r>
      <w:r>
        <w:t xml:space="preserve">ACR </w:t>
      </w:r>
      <w:proofErr w:type="spellStart"/>
      <w:r>
        <w:t>Convergence</w:t>
      </w:r>
      <w:proofErr w:type="spellEnd"/>
      <w:r>
        <w:t xml:space="preserve"> 2020.</w:t>
      </w:r>
    </w:p>
    <w:p w14:paraId="5FD76223" w14:textId="77777777" w:rsidR="00817793" w:rsidRDefault="002719FC">
      <w:pPr>
        <w:numPr>
          <w:ilvl w:val="0"/>
          <w:numId w:val="13"/>
        </w:numPr>
        <w:pBdr>
          <w:top w:val="nil"/>
          <w:left w:val="nil"/>
          <w:bottom w:val="nil"/>
          <w:right w:val="nil"/>
          <w:between w:val="nil"/>
        </w:pBdr>
        <w:spacing w:before="0" w:after="0"/>
        <w:ind w:left="714" w:hanging="357"/>
      </w:pPr>
      <w:r w:rsidRPr="00115FE0">
        <w:rPr>
          <w:lang w:val="de-DE"/>
        </w:rPr>
        <w:t xml:space="preserve">Canadian Agency for Drugs and Technologies in Health (CADTH). </w:t>
      </w:r>
      <w:r>
        <w:t xml:space="preserve">CADTH </w:t>
      </w:r>
      <w:proofErr w:type="spellStart"/>
      <w:r>
        <w:t>Reimbursement</w:t>
      </w:r>
      <w:proofErr w:type="spellEnd"/>
      <w:r>
        <w:t xml:space="preserve"> </w:t>
      </w:r>
      <w:proofErr w:type="spellStart"/>
      <w:r>
        <w:t>Recommendation</w:t>
      </w:r>
      <w:proofErr w:type="spellEnd"/>
      <w:r>
        <w:t xml:space="preserve"> </w:t>
      </w:r>
      <w:proofErr w:type="spellStart"/>
      <w:r>
        <w:t>Anifrolumab</w:t>
      </w:r>
      <w:proofErr w:type="spellEnd"/>
      <w:r>
        <w:t xml:space="preserve"> (</w:t>
      </w:r>
      <w:proofErr w:type="spellStart"/>
      <w:r>
        <w:t>Saphnelo</w:t>
      </w:r>
      <w:proofErr w:type="spellEnd"/>
      <w:r>
        <w:t>) 2023. https://www.cda-</w:t>
      </w:r>
      <w:r>
        <w:lastRenderedPageBreak/>
        <w:t>amc.ca/sites/default/files/DRR/2023/SR0717%20Saphnelo%20-%20CADTH%20Final%20Rec_JH_BF.pdf (Acesso: 10 março 2025).</w:t>
      </w:r>
    </w:p>
    <w:p w14:paraId="2FC2114A" w14:textId="77777777" w:rsidR="00817793" w:rsidRDefault="002719FC">
      <w:pPr>
        <w:numPr>
          <w:ilvl w:val="0"/>
          <w:numId w:val="13"/>
        </w:numPr>
        <w:pBdr>
          <w:top w:val="nil"/>
          <w:left w:val="nil"/>
          <w:bottom w:val="nil"/>
          <w:right w:val="nil"/>
          <w:between w:val="nil"/>
        </w:pBdr>
        <w:spacing w:before="0" w:after="0"/>
        <w:ind w:left="714" w:hanging="357"/>
      </w:pPr>
      <w:hyperlink r:id="rId46">
        <w:r>
          <w:rPr>
            <w:color w:val="1155CC"/>
            <w:u w:val="single"/>
          </w:rPr>
          <w:t>https://www.nice.org.uk/guidance/ta793/chapter/Advice</w:t>
        </w:r>
      </w:hyperlink>
    </w:p>
    <w:p w14:paraId="1E5CB866" w14:textId="77777777" w:rsidR="00817793" w:rsidRDefault="002719FC">
      <w:pPr>
        <w:numPr>
          <w:ilvl w:val="0"/>
          <w:numId w:val="13"/>
        </w:numPr>
        <w:pBdr>
          <w:top w:val="nil"/>
          <w:left w:val="nil"/>
          <w:bottom w:val="nil"/>
          <w:right w:val="nil"/>
          <w:between w:val="nil"/>
        </w:pBdr>
        <w:spacing w:before="0" w:after="0"/>
        <w:ind w:left="714" w:hanging="357"/>
      </w:pPr>
      <w:r>
        <w:t xml:space="preserve">Haute </w:t>
      </w:r>
      <w:proofErr w:type="spellStart"/>
      <w:r>
        <w:t>Autorité</w:t>
      </w:r>
      <w:proofErr w:type="spellEnd"/>
      <w:r>
        <w:t xml:space="preserve"> de Santé (HAS). </w:t>
      </w:r>
      <w:proofErr w:type="spellStart"/>
      <w:r>
        <w:t>Anifrolumab</w:t>
      </w:r>
      <w:proofErr w:type="spellEnd"/>
      <w:r>
        <w:t xml:space="preserve"> SAPHNELO 300 mg 2022. </w:t>
      </w:r>
      <w:hyperlink r:id="rId47">
        <w:r>
          <w:rPr>
            <w:color w:val="1155CC"/>
            <w:u w:val="single"/>
          </w:rPr>
          <w:t>https://www.has-sante.fr/upload/docs/application/pdf/2023-04/saphnelo_071223_summary_ct19785.pdf</w:t>
        </w:r>
      </w:hyperlink>
      <w:r>
        <w:t xml:space="preserve"> (Acesso: 10 março 2025).</w:t>
      </w:r>
    </w:p>
    <w:p w14:paraId="097CFC7C" w14:textId="77777777" w:rsidR="00817793" w:rsidRDefault="002719FC">
      <w:pPr>
        <w:numPr>
          <w:ilvl w:val="0"/>
          <w:numId w:val="13"/>
        </w:numPr>
        <w:pBdr>
          <w:top w:val="nil"/>
          <w:left w:val="nil"/>
          <w:bottom w:val="nil"/>
          <w:right w:val="nil"/>
          <w:between w:val="nil"/>
        </w:pBdr>
        <w:spacing w:before="0" w:after="0"/>
        <w:ind w:left="714" w:hanging="357"/>
        <w:sectPr w:rsidR="00817793">
          <w:pgSz w:w="11906" w:h="16838"/>
          <w:pgMar w:top="2115" w:right="1418" w:bottom="1134" w:left="1418" w:header="709" w:footer="709" w:gutter="0"/>
          <w:cols w:space="720"/>
        </w:sectPr>
      </w:pPr>
      <w:proofErr w:type="spellStart"/>
      <w:r>
        <w:t>Pharmaceutics</w:t>
      </w:r>
      <w:proofErr w:type="spellEnd"/>
      <w:r>
        <w:t xml:space="preserve"> </w:t>
      </w:r>
      <w:proofErr w:type="spellStart"/>
      <w:r>
        <w:t>Benefits</w:t>
      </w:r>
      <w:proofErr w:type="spellEnd"/>
      <w:r>
        <w:t xml:space="preserve"> Advisory </w:t>
      </w:r>
      <w:proofErr w:type="spellStart"/>
      <w:r>
        <w:t>Comittee</w:t>
      </w:r>
      <w:proofErr w:type="spellEnd"/>
      <w:r>
        <w:t xml:space="preserve"> (PBAC). </w:t>
      </w:r>
      <w:proofErr w:type="spellStart"/>
      <w:r>
        <w:t>Public</w:t>
      </w:r>
      <w:proofErr w:type="spellEnd"/>
      <w:r>
        <w:t xml:space="preserve"> </w:t>
      </w:r>
      <w:proofErr w:type="spellStart"/>
      <w:r>
        <w:t>Summary</w:t>
      </w:r>
      <w:proofErr w:type="spellEnd"/>
      <w:r>
        <w:t xml:space="preserve"> </w:t>
      </w:r>
      <w:proofErr w:type="spellStart"/>
      <w:r>
        <w:t>Document</w:t>
      </w:r>
      <w:proofErr w:type="spellEnd"/>
      <w:r>
        <w:t xml:space="preserve"> – </w:t>
      </w:r>
      <w:proofErr w:type="spellStart"/>
      <w:r>
        <w:t>March</w:t>
      </w:r>
      <w:proofErr w:type="spellEnd"/>
      <w:r>
        <w:t xml:space="preserve"> 2024 PBAC Meeting - </w:t>
      </w:r>
      <w:proofErr w:type="spellStart"/>
      <w:r>
        <w:t>Anifrolumab</w:t>
      </w:r>
      <w:proofErr w:type="spellEnd"/>
      <w:r>
        <w:t xml:space="preserve"> 2024. https://m.pbs.gov.au/industry/listing/elements/pbac-meetings/psd/2024-03/files/anifrolumab-psd-march-2024.pdf (Acesso: 10 março 2025).</w:t>
      </w:r>
    </w:p>
    <w:p w14:paraId="4BDB93FB" w14:textId="77777777" w:rsidR="00817793" w:rsidRDefault="002719FC">
      <w:pPr>
        <w:pStyle w:val="Ttulo1"/>
      </w:pPr>
      <w:bookmarkStart w:id="89" w:name="_3tbugp1" w:colFirst="0" w:colLast="0"/>
      <w:bookmarkEnd w:id="89"/>
      <w:r>
        <w:lastRenderedPageBreak/>
        <w:t>10. ANEXOS</w:t>
      </w:r>
    </w:p>
    <w:p w14:paraId="27783DC5" w14:textId="77777777" w:rsidR="00817793" w:rsidRDefault="002719FC">
      <w:pPr>
        <w:pStyle w:val="Ttulo5"/>
        <w:spacing w:before="0"/>
        <w:jc w:val="center"/>
        <w:rPr>
          <w:i w:val="0"/>
          <w:sz w:val="22"/>
          <w:szCs w:val="22"/>
        </w:rPr>
      </w:pPr>
      <w:bookmarkStart w:id="90" w:name="_37mb4igutgex" w:colFirst="0" w:colLast="0"/>
      <w:bookmarkEnd w:id="90"/>
      <w:r>
        <w:rPr>
          <w:b/>
          <w:i w:val="0"/>
          <w:sz w:val="22"/>
          <w:szCs w:val="22"/>
        </w:rPr>
        <w:t xml:space="preserve">Anexo 1. </w:t>
      </w:r>
      <w:r>
        <w:rPr>
          <w:i w:val="0"/>
          <w:sz w:val="22"/>
          <w:szCs w:val="22"/>
        </w:rPr>
        <w:t>Checklist de análise crítica: Avaliação econômica de tecnologias em saúde no processo de atualização do Rol da ANS.</w:t>
      </w:r>
    </w:p>
    <w:tbl>
      <w:tblPr>
        <w:tblStyle w:val="afffe"/>
        <w:tblW w:w="1339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992"/>
        <w:gridCol w:w="5670"/>
        <w:gridCol w:w="993"/>
        <w:gridCol w:w="850"/>
        <w:gridCol w:w="851"/>
        <w:gridCol w:w="708"/>
        <w:gridCol w:w="851"/>
      </w:tblGrid>
      <w:tr w:rsidR="00817793" w14:paraId="74B62755" w14:textId="77777777">
        <w:trPr>
          <w:trHeight w:val="855"/>
        </w:trPr>
        <w:tc>
          <w:tcPr>
            <w:tcW w:w="2480" w:type="dxa"/>
            <w:shd w:val="clear" w:color="auto" w:fill="B4C6E7"/>
            <w:vAlign w:val="center"/>
          </w:tcPr>
          <w:p w14:paraId="401883A2" w14:textId="77777777" w:rsidR="00817793" w:rsidRDefault="002719FC">
            <w:pPr>
              <w:spacing w:before="120" w:after="120" w:line="240" w:lineRule="auto"/>
              <w:jc w:val="center"/>
              <w:rPr>
                <w:b/>
              </w:rPr>
            </w:pPr>
            <w:r>
              <w:rPr>
                <w:b/>
              </w:rPr>
              <w:t>Seção/Item</w:t>
            </w:r>
          </w:p>
        </w:tc>
        <w:tc>
          <w:tcPr>
            <w:tcW w:w="992" w:type="dxa"/>
            <w:shd w:val="clear" w:color="auto" w:fill="B4C6E7"/>
            <w:vAlign w:val="center"/>
          </w:tcPr>
          <w:p w14:paraId="081CC085" w14:textId="77777777" w:rsidR="00817793" w:rsidRDefault="002719FC">
            <w:pPr>
              <w:spacing w:before="120" w:after="120" w:line="240" w:lineRule="auto"/>
              <w:jc w:val="center"/>
              <w:rPr>
                <w:b/>
              </w:rPr>
            </w:pPr>
            <w:r>
              <w:rPr>
                <w:b/>
              </w:rPr>
              <w:t>Item n°</w:t>
            </w:r>
          </w:p>
        </w:tc>
        <w:tc>
          <w:tcPr>
            <w:tcW w:w="5670" w:type="dxa"/>
            <w:shd w:val="clear" w:color="auto" w:fill="B4C6E7"/>
            <w:vAlign w:val="center"/>
          </w:tcPr>
          <w:p w14:paraId="67DFDD37" w14:textId="77777777" w:rsidR="00817793" w:rsidRDefault="002719FC">
            <w:pPr>
              <w:spacing w:before="120" w:after="120" w:line="240" w:lineRule="auto"/>
              <w:jc w:val="center"/>
              <w:rPr>
                <w:b/>
              </w:rPr>
            </w:pPr>
            <w:r>
              <w:rPr>
                <w:b/>
              </w:rPr>
              <w:t>Conteúdo para verificação</w:t>
            </w:r>
          </w:p>
        </w:tc>
        <w:tc>
          <w:tcPr>
            <w:tcW w:w="993" w:type="dxa"/>
            <w:shd w:val="clear" w:color="auto" w:fill="B4C6E7"/>
            <w:vAlign w:val="center"/>
          </w:tcPr>
          <w:p w14:paraId="3FBAC8E5" w14:textId="77777777" w:rsidR="00817793" w:rsidRDefault="002719FC">
            <w:pPr>
              <w:spacing w:before="120" w:after="120" w:line="240" w:lineRule="auto"/>
              <w:jc w:val="center"/>
              <w:rPr>
                <w:b/>
              </w:rPr>
            </w:pPr>
            <w:r>
              <w:rPr>
                <w:b/>
              </w:rPr>
              <w:t>Sim</w:t>
            </w:r>
          </w:p>
        </w:tc>
        <w:tc>
          <w:tcPr>
            <w:tcW w:w="850" w:type="dxa"/>
            <w:shd w:val="clear" w:color="auto" w:fill="B4C6E7"/>
            <w:vAlign w:val="center"/>
          </w:tcPr>
          <w:p w14:paraId="5D6332DC" w14:textId="77777777" w:rsidR="00817793" w:rsidRDefault="002719FC">
            <w:pPr>
              <w:spacing w:before="120" w:after="120" w:line="240" w:lineRule="auto"/>
              <w:jc w:val="center"/>
              <w:rPr>
                <w:b/>
              </w:rPr>
            </w:pPr>
            <w:r>
              <w:rPr>
                <w:b/>
              </w:rPr>
              <w:t>Não</w:t>
            </w:r>
          </w:p>
        </w:tc>
        <w:tc>
          <w:tcPr>
            <w:tcW w:w="851" w:type="dxa"/>
            <w:shd w:val="clear" w:color="auto" w:fill="B4C6E7"/>
            <w:vAlign w:val="center"/>
          </w:tcPr>
          <w:p w14:paraId="2DC9BEC8" w14:textId="77777777" w:rsidR="00817793" w:rsidRDefault="002719FC">
            <w:pPr>
              <w:spacing w:before="120" w:after="120" w:line="240" w:lineRule="auto"/>
              <w:jc w:val="center"/>
              <w:rPr>
                <w:b/>
              </w:rPr>
            </w:pPr>
            <w:r>
              <w:rPr>
                <w:b/>
              </w:rPr>
              <w:t>Parcial</w:t>
            </w:r>
          </w:p>
        </w:tc>
        <w:tc>
          <w:tcPr>
            <w:tcW w:w="708" w:type="dxa"/>
            <w:shd w:val="clear" w:color="auto" w:fill="B4C6E7"/>
            <w:vAlign w:val="center"/>
          </w:tcPr>
          <w:p w14:paraId="146E8121" w14:textId="77777777" w:rsidR="00817793" w:rsidRDefault="002719FC">
            <w:pPr>
              <w:spacing w:before="120" w:after="120" w:line="240" w:lineRule="auto"/>
              <w:jc w:val="center"/>
              <w:rPr>
                <w:b/>
              </w:rPr>
            </w:pPr>
            <w:r>
              <w:rPr>
                <w:b/>
              </w:rPr>
              <w:t>NA</w:t>
            </w:r>
          </w:p>
        </w:tc>
        <w:tc>
          <w:tcPr>
            <w:tcW w:w="851" w:type="dxa"/>
            <w:shd w:val="clear" w:color="auto" w:fill="B4C6E7"/>
            <w:vAlign w:val="center"/>
          </w:tcPr>
          <w:p w14:paraId="7AA1C3A8" w14:textId="77777777" w:rsidR="00817793" w:rsidRDefault="002719FC">
            <w:pPr>
              <w:spacing w:before="120" w:after="120" w:line="240" w:lineRule="auto"/>
              <w:jc w:val="center"/>
              <w:rPr>
                <w:b/>
              </w:rPr>
            </w:pPr>
            <w:proofErr w:type="spellStart"/>
            <w:r>
              <w:rPr>
                <w:b/>
              </w:rPr>
              <w:t>Pág.nº</w:t>
            </w:r>
            <w:proofErr w:type="spellEnd"/>
          </w:p>
        </w:tc>
      </w:tr>
      <w:tr w:rsidR="00817793" w14:paraId="016A84C5" w14:textId="77777777">
        <w:trPr>
          <w:trHeight w:val="525"/>
        </w:trPr>
        <w:tc>
          <w:tcPr>
            <w:tcW w:w="13395" w:type="dxa"/>
            <w:gridSpan w:val="8"/>
            <w:shd w:val="clear" w:color="auto" w:fill="D9E1F2"/>
            <w:vAlign w:val="center"/>
          </w:tcPr>
          <w:p w14:paraId="21F85DA9" w14:textId="77777777" w:rsidR="00817793" w:rsidRDefault="002719FC">
            <w:pPr>
              <w:spacing w:before="120" w:after="120" w:line="240" w:lineRule="auto"/>
              <w:jc w:val="left"/>
              <w:rPr>
                <w:b/>
              </w:rPr>
            </w:pPr>
            <w:r>
              <w:rPr>
                <w:b/>
              </w:rPr>
              <w:t>Definições</w:t>
            </w:r>
          </w:p>
        </w:tc>
      </w:tr>
      <w:tr w:rsidR="00817793" w14:paraId="37C8B05E" w14:textId="77777777">
        <w:trPr>
          <w:trHeight w:val="762"/>
        </w:trPr>
        <w:tc>
          <w:tcPr>
            <w:tcW w:w="2480" w:type="dxa"/>
            <w:shd w:val="clear" w:color="auto" w:fill="auto"/>
            <w:vAlign w:val="center"/>
          </w:tcPr>
          <w:p w14:paraId="01161C5A" w14:textId="77777777" w:rsidR="00817793" w:rsidRDefault="002719FC">
            <w:pPr>
              <w:spacing w:before="120" w:after="120" w:line="240" w:lineRule="auto"/>
              <w:jc w:val="left"/>
              <w:rPr>
                <w:color w:val="000000"/>
              </w:rPr>
            </w:pPr>
            <w:r>
              <w:rPr>
                <w:color w:val="000000"/>
              </w:rPr>
              <w:t>Problema</w:t>
            </w:r>
          </w:p>
        </w:tc>
        <w:tc>
          <w:tcPr>
            <w:tcW w:w="992" w:type="dxa"/>
            <w:shd w:val="clear" w:color="auto" w:fill="auto"/>
            <w:vAlign w:val="center"/>
          </w:tcPr>
          <w:p w14:paraId="249FAAB8" w14:textId="77777777" w:rsidR="00817793" w:rsidRDefault="002719FC">
            <w:pPr>
              <w:spacing w:before="120" w:after="120" w:line="240" w:lineRule="auto"/>
              <w:jc w:val="center"/>
              <w:rPr>
                <w:color w:val="000000"/>
              </w:rPr>
            </w:pPr>
            <w:r>
              <w:rPr>
                <w:color w:val="000000"/>
              </w:rPr>
              <w:t>1</w:t>
            </w:r>
          </w:p>
        </w:tc>
        <w:tc>
          <w:tcPr>
            <w:tcW w:w="5670" w:type="dxa"/>
            <w:shd w:val="clear" w:color="auto" w:fill="auto"/>
            <w:vAlign w:val="center"/>
          </w:tcPr>
          <w:p w14:paraId="0C615FFB" w14:textId="77777777" w:rsidR="00817793" w:rsidRDefault="002719FC">
            <w:pPr>
              <w:spacing w:before="120" w:after="120" w:line="240" w:lineRule="auto"/>
              <w:jc w:val="left"/>
              <w:rPr>
                <w:color w:val="000000"/>
              </w:rPr>
            </w:pPr>
            <w:r>
              <w:rPr>
                <w:color w:val="000000"/>
              </w:rPr>
              <w:t>O problema de saúde para o qual se destina a intervenção avaliada é adequado e está descrito de forma clara.</w:t>
            </w:r>
          </w:p>
        </w:tc>
        <w:tc>
          <w:tcPr>
            <w:tcW w:w="993" w:type="dxa"/>
            <w:shd w:val="clear" w:color="auto" w:fill="auto"/>
            <w:vAlign w:val="center"/>
          </w:tcPr>
          <w:p w14:paraId="4DDC956D"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63966B72" w14:textId="77777777" w:rsidR="00817793" w:rsidRDefault="00817793">
            <w:pPr>
              <w:spacing w:before="120" w:after="120" w:line="240" w:lineRule="auto"/>
              <w:jc w:val="center"/>
              <w:rPr>
                <w:color w:val="000000"/>
              </w:rPr>
            </w:pPr>
          </w:p>
        </w:tc>
        <w:tc>
          <w:tcPr>
            <w:tcW w:w="851" w:type="dxa"/>
            <w:shd w:val="clear" w:color="auto" w:fill="auto"/>
            <w:vAlign w:val="center"/>
          </w:tcPr>
          <w:p w14:paraId="23536548" w14:textId="77777777" w:rsidR="00817793" w:rsidRDefault="00817793">
            <w:pPr>
              <w:spacing w:before="120" w:after="120" w:line="240" w:lineRule="auto"/>
              <w:jc w:val="center"/>
              <w:rPr>
                <w:color w:val="000000"/>
              </w:rPr>
            </w:pPr>
          </w:p>
        </w:tc>
        <w:tc>
          <w:tcPr>
            <w:tcW w:w="708" w:type="dxa"/>
            <w:shd w:val="clear" w:color="auto" w:fill="auto"/>
            <w:vAlign w:val="center"/>
          </w:tcPr>
          <w:p w14:paraId="271AE1F2" w14:textId="77777777" w:rsidR="00817793" w:rsidRDefault="00817793">
            <w:pPr>
              <w:spacing w:before="120" w:after="120" w:line="240" w:lineRule="auto"/>
              <w:jc w:val="center"/>
              <w:rPr>
                <w:color w:val="000000"/>
              </w:rPr>
            </w:pPr>
          </w:p>
        </w:tc>
        <w:tc>
          <w:tcPr>
            <w:tcW w:w="851" w:type="dxa"/>
            <w:shd w:val="clear" w:color="auto" w:fill="auto"/>
            <w:vAlign w:val="center"/>
          </w:tcPr>
          <w:p w14:paraId="4AE5B7AF" w14:textId="77777777" w:rsidR="00817793" w:rsidRDefault="00817793">
            <w:pPr>
              <w:spacing w:before="120" w:after="120" w:line="240" w:lineRule="auto"/>
              <w:jc w:val="center"/>
              <w:rPr>
                <w:color w:val="000000"/>
              </w:rPr>
            </w:pPr>
          </w:p>
        </w:tc>
      </w:tr>
      <w:tr w:rsidR="00817793" w14:paraId="7E5804DE" w14:textId="77777777">
        <w:trPr>
          <w:trHeight w:val="762"/>
        </w:trPr>
        <w:tc>
          <w:tcPr>
            <w:tcW w:w="2480" w:type="dxa"/>
            <w:shd w:val="clear" w:color="auto" w:fill="auto"/>
            <w:vAlign w:val="center"/>
          </w:tcPr>
          <w:p w14:paraId="5EF21781" w14:textId="77777777" w:rsidR="00817793" w:rsidRDefault="002719FC">
            <w:pPr>
              <w:spacing w:before="120" w:after="120" w:line="240" w:lineRule="auto"/>
              <w:jc w:val="left"/>
              <w:rPr>
                <w:color w:val="000000"/>
              </w:rPr>
            </w:pPr>
            <w:r>
              <w:rPr>
                <w:color w:val="000000"/>
              </w:rPr>
              <w:t xml:space="preserve">População </w:t>
            </w:r>
          </w:p>
        </w:tc>
        <w:tc>
          <w:tcPr>
            <w:tcW w:w="992" w:type="dxa"/>
            <w:shd w:val="clear" w:color="auto" w:fill="auto"/>
            <w:vAlign w:val="center"/>
          </w:tcPr>
          <w:p w14:paraId="78E884CA" w14:textId="77777777" w:rsidR="00817793" w:rsidRDefault="002719FC">
            <w:pPr>
              <w:spacing w:before="120" w:after="120" w:line="240" w:lineRule="auto"/>
              <w:jc w:val="center"/>
              <w:rPr>
                <w:color w:val="000000"/>
              </w:rPr>
            </w:pPr>
            <w:r>
              <w:rPr>
                <w:color w:val="000000"/>
              </w:rPr>
              <w:t>2</w:t>
            </w:r>
          </w:p>
        </w:tc>
        <w:tc>
          <w:tcPr>
            <w:tcW w:w="5670" w:type="dxa"/>
            <w:shd w:val="clear" w:color="auto" w:fill="auto"/>
            <w:vAlign w:val="center"/>
          </w:tcPr>
          <w:p w14:paraId="77C64AEB" w14:textId="77777777" w:rsidR="00817793" w:rsidRDefault="002719FC">
            <w:pPr>
              <w:spacing w:before="120" w:after="120" w:line="240" w:lineRule="auto"/>
              <w:jc w:val="left"/>
              <w:rPr>
                <w:color w:val="000000"/>
              </w:rPr>
            </w:pPr>
            <w:r>
              <w:rPr>
                <w:color w:val="000000"/>
              </w:rPr>
              <w:t>A população elegível para a avaliação econômica está concordante com a população abordada nas evidências apresentadas no PTC/RS e no formulário da proposta.</w:t>
            </w:r>
          </w:p>
        </w:tc>
        <w:tc>
          <w:tcPr>
            <w:tcW w:w="993" w:type="dxa"/>
            <w:shd w:val="clear" w:color="auto" w:fill="auto"/>
            <w:vAlign w:val="center"/>
          </w:tcPr>
          <w:p w14:paraId="3955E093" w14:textId="77777777" w:rsidR="00817793" w:rsidRDefault="00817793">
            <w:pPr>
              <w:spacing w:before="120" w:after="120" w:line="240" w:lineRule="auto"/>
              <w:jc w:val="center"/>
              <w:rPr>
                <w:color w:val="000000"/>
              </w:rPr>
            </w:pPr>
          </w:p>
        </w:tc>
        <w:tc>
          <w:tcPr>
            <w:tcW w:w="850" w:type="dxa"/>
            <w:shd w:val="clear" w:color="auto" w:fill="auto"/>
            <w:vAlign w:val="center"/>
          </w:tcPr>
          <w:p w14:paraId="12C42424" w14:textId="77777777" w:rsidR="00817793" w:rsidRDefault="00817793">
            <w:pPr>
              <w:spacing w:before="120" w:after="120" w:line="240" w:lineRule="auto"/>
              <w:jc w:val="center"/>
              <w:rPr>
                <w:color w:val="000000"/>
              </w:rPr>
            </w:pPr>
          </w:p>
        </w:tc>
        <w:tc>
          <w:tcPr>
            <w:tcW w:w="851" w:type="dxa"/>
            <w:shd w:val="clear" w:color="auto" w:fill="auto"/>
            <w:vAlign w:val="center"/>
          </w:tcPr>
          <w:p w14:paraId="72A23E69"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379CA55B" w14:textId="77777777" w:rsidR="00817793" w:rsidRDefault="00817793">
            <w:pPr>
              <w:spacing w:before="120" w:after="120" w:line="240" w:lineRule="auto"/>
              <w:jc w:val="center"/>
              <w:rPr>
                <w:color w:val="000000"/>
              </w:rPr>
            </w:pPr>
          </w:p>
        </w:tc>
        <w:tc>
          <w:tcPr>
            <w:tcW w:w="851" w:type="dxa"/>
            <w:shd w:val="clear" w:color="auto" w:fill="auto"/>
            <w:vAlign w:val="center"/>
          </w:tcPr>
          <w:p w14:paraId="089009E4" w14:textId="77777777" w:rsidR="00817793" w:rsidRDefault="002719FC">
            <w:pPr>
              <w:spacing w:before="120" w:after="120" w:line="240" w:lineRule="auto"/>
              <w:jc w:val="center"/>
              <w:rPr>
                <w:color w:val="000000"/>
              </w:rPr>
            </w:pPr>
            <w:r>
              <w:t>9</w:t>
            </w:r>
          </w:p>
        </w:tc>
      </w:tr>
      <w:tr w:rsidR="00817793" w14:paraId="140BAA2F" w14:textId="77777777">
        <w:trPr>
          <w:trHeight w:val="762"/>
        </w:trPr>
        <w:tc>
          <w:tcPr>
            <w:tcW w:w="2480" w:type="dxa"/>
            <w:shd w:val="clear" w:color="auto" w:fill="auto"/>
            <w:vAlign w:val="center"/>
          </w:tcPr>
          <w:p w14:paraId="684B34C6" w14:textId="77777777" w:rsidR="00817793" w:rsidRDefault="002719FC">
            <w:pPr>
              <w:spacing w:before="120" w:after="120" w:line="240" w:lineRule="auto"/>
              <w:jc w:val="left"/>
              <w:rPr>
                <w:color w:val="000000"/>
              </w:rPr>
            </w:pPr>
            <w:r>
              <w:rPr>
                <w:color w:val="000000"/>
              </w:rPr>
              <w:t>Tecnologia</w:t>
            </w:r>
          </w:p>
        </w:tc>
        <w:tc>
          <w:tcPr>
            <w:tcW w:w="992" w:type="dxa"/>
            <w:shd w:val="clear" w:color="auto" w:fill="auto"/>
            <w:vAlign w:val="center"/>
          </w:tcPr>
          <w:p w14:paraId="0B778152" w14:textId="77777777" w:rsidR="00817793" w:rsidRDefault="002719FC">
            <w:pPr>
              <w:spacing w:before="120" w:after="120" w:line="240" w:lineRule="auto"/>
              <w:jc w:val="center"/>
              <w:rPr>
                <w:color w:val="000000"/>
              </w:rPr>
            </w:pPr>
            <w:r>
              <w:rPr>
                <w:color w:val="000000"/>
              </w:rPr>
              <w:t>3</w:t>
            </w:r>
          </w:p>
        </w:tc>
        <w:tc>
          <w:tcPr>
            <w:tcW w:w="5670" w:type="dxa"/>
            <w:shd w:val="clear" w:color="auto" w:fill="auto"/>
            <w:vAlign w:val="center"/>
          </w:tcPr>
          <w:p w14:paraId="59F4D6C1" w14:textId="77777777" w:rsidR="00817793" w:rsidRDefault="002719FC">
            <w:pPr>
              <w:spacing w:before="120" w:after="120" w:line="240" w:lineRule="auto"/>
              <w:jc w:val="left"/>
              <w:rPr>
                <w:color w:val="000000"/>
              </w:rPr>
            </w:pPr>
            <w:r>
              <w:rPr>
                <w:color w:val="000000"/>
              </w:rPr>
              <w:t>A tecnologia em saúde é apresentada de forma clara e adequada (doses, tempo de uso etc.).</w:t>
            </w:r>
          </w:p>
        </w:tc>
        <w:tc>
          <w:tcPr>
            <w:tcW w:w="993" w:type="dxa"/>
            <w:shd w:val="clear" w:color="auto" w:fill="auto"/>
            <w:vAlign w:val="center"/>
          </w:tcPr>
          <w:p w14:paraId="74CE464C"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5ABF93C4" w14:textId="77777777" w:rsidR="00817793" w:rsidRDefault="00817793">
            <w:pPr>
              <w:spacing w:before="120" w:after="120" w:line="240" w:lineRule="auto"/>
              <w:jc w:val="center"/>
              <w:rPr>
                <w:color w:val="000000"/>
              </w:rPr>
            </w:pPr>
          </w:p>
        </w:tc>
        <w:tc>
          <w:tcPr>
            <w:tcW w:w="851" w:type="dxa"/>
            <w:shd w:val="clear" w:color="auto" w:fill="auto"/>
            <w:vAlign w:val="center"/>
          </w:tcPr>
          <w:p w14:paraId="71DCB018" w14:textId="77777777" w:rsidR="00817793" w:rsidRDefault="00817793">
            <w:pPr>
              <w:spacing w:before="120" w:after="120" w:line="240" w:lineRule="auto"/>
              <w:jc w:val="center"/>
              <w:rPr>
                <w:color w:val="000000"/>
              </w:rPr>
            </w:pPr>
          </w:p>
        </w:tc>
        <w:tc>
          <w:tcPr>
            <w:tcW w:w="708" w:type="dxa"/>
            <w:shd w:val="clear" w:color="auto" w:fill="auto"/>
            <w:vAlign w:val="center"/>
          </w:tcPr>
          <w:p w14:paraId="4B644A8D" w14:textId="77777777" w:rsidR="00817793" w:rsidRDefault="00817793">
            <w:pPr>
              <w:spacing w:before="120" w:after="120" w:line="240" w:lineRule="auto"/>
              <w:jc w:val="center"/>
              <w:rPr>
                <w:color w:val="000000"/>
              </w:rPr>
            </w:pPr>
          </w:p>
        </w:tc>
        <w:tc>
          <w:tcPr>
            <w:tcW w:w="851" w:type="dxa"/>
            <w:shd w:val="clear" w:color="auto" w:fill="auto"/>
            <w:vAlign w:val="center"/>
          </w:tcPr>
          <w:p w14:paraId="42124560" w14:textId="77777777" w:rsidR="00817793" w:rsidRDefault="002719FC">
            <w:pPr>
              <w:spacing w:before="120" w:after="120" w:line="240" w:lineRule="auto"/>
              <w:jc w:val="center"/>
              <w:rPr>
                <w:color w:val="000000"/>
              </w:rPr>
            </w:pPr>
            <w:r>
              <w:t>9</w:t>
            </w:r>
          </w:p>
        </w:tc>
      </w:tr>
      <w:tr w:rsidR="00817793" w14:paraId="1EA89C33" w14:textId="77777777">
        <w:trPr>
          <w:trHeight w:val="762"/>
        </w:trPr>
        <w:tc>
          <w:tcPr>
            <w:tcW w:w="2480" w:type="dxa"/>
            <w:shd w:val="clear" w:color="auto" w:fill="auto"/>
            <w:vAlign w:val="center"/>
          </w:tcPr>
          <w:p w14:paraId="7DE5BD35" w14:textId="77777777" w:rsidR="00817793" w:rsidRDefault="002719FC">
            <w:pPr>
              <w:spacing w:before="120" w:after="120" w:line="240" w:lineRule="auto"/>
              <w:jc w:val="left"/>
              <w:rPr>
                <w:color w:val="000000"/>
              </w:rPr>
            </w:pPr>
            <w:r>
              <w:rPr>
                <w:color w:val="000000"/>
              </w:rPr>
              <w:t>Comparadores</w:t>
            </w:r>
          </w:p>
        </w:tc>
        <w:tc>
          <w:tcPr>
            <w:tcW w:w="992" w:type="dxa"/>
            <w:shd w:val="clear" w:color="auto" w:fill="auto"/>
            <w:vAlign w:val="center"/>
          </w:tcPr>
          <w:p w14:paraId="279935FF" w14:textId="77777777" w:rsidR="00817793" w:rsidRDefault="002719FC">
            <w:pPr>
              <w:spacing w:before="120" w:after="120" w:line="240" w:lineRule="auto"/>
              <w:jc w:val="center"/>
              <w:rPr>
                <w:color w:val="000000"/>
              </w:rPr>
            </w:pPr>
            <w:r>
              <w:rPr>
                <w:color w:val="000000"/>
              </w:rPr>
              <w:t>4</w:t>
            </w:r>
          </w:p>
        </w:tc>
        <w:tc>
          <w:tcPr>
            <w:tcW w:w="5670" w:type="dxa"/>
            <w:shd w:val="clear" w:color="auto" w:fill="auto"/>
            <w:vAlign w:val="center"/>
          </w:tcPr>
          <w:p w14:paraId="3541CEB3" w14:textId="77777777" w:rsidR="00817793" w:rsidRDefault="002719FC">
            <w:pPr>
              <w:spacing w:before="120" w:after="120" w:line="240" w:lineRule="auto"/>
              <w:jc w:val="left"/>
              <w:rPr>
                <w:color w:val="000000"/>
              </w:rPr>
            </w:pPr>
            <w:r>
              <w:rPr>
                <w:color w:val="000000"/>
              </w:rPr>
              <w:t>Os comparadores apresentados são adequados e relevantes para a saúde suplementar e estão descritos e justificados de forma clara.</w:t>
            </w:r>
          </w:p>
        </w:tc>
        <w:tc>
          <w:tcPr>
            <w:tcW w:w="993" w:type="dxa"/>
            <w:shd w:val="clear" w:color="auto" w:fill="auto"/>
            <w:vAlign w:val="center"/>
          </w:tcPr>
          <w:p w14:paraId="082C48EB" w14:textId="77777777" w:rsidR="00817793" w:rsidRDefault="00817793">
            <w:pPr>
              <w:spacing w:before="120" w:after="120" w:line="240" w:lineRule="auto"/>
              <w:jc w:val="center"/>
              <w:rPr>
                <w:color w:val="000000"/>
              </w:rPr>
            </w:pPr>
          </w:p>
        </w:tc>
        <w:tc>
          <w:tcPr>
            <w:tcW w:w="850" w:type="dxa"/>
            <w:shd w:val="clear" w:color="auto" w:fill="auto"/>
            <w:vAlign w:val="center"/>
          </w:tcPr>
          <w:p w14:paraId="2677290C" w14:textId="77777777" w:rsidR="00817793" w:rsidRDefault="00817793">
            <w:pPr>
              <w:spacing w:before="120" w:after="120" w:line="240" w:lineRule="auto"/>
              <w:jc w:val="center"/>
              <w:rPr>
                <w:color w:val="000000"/>
              </w:rPr>
            </w:pPr>
          </w:p>
        </w:tc>
        <w:tc>
          <w:tcPr>
            <w:tcW w:w="851" w:type="dxa"/>
            <w:shd w:val="clear" w:color="auto" w:fill="auto"/>
            <w:vAlign w:val="center"/>
          </w:tcPr>
          <w:p w14:paraId="019ED19F"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249BF8C6" w14:textId="77777777" w:rsidR="00817793" w:rsidRDefault="00817793">
            <w:pPr>
              <w:spacing w:before="120" w:after="120" w:line="240" w:lineRule="auto"/>
              <w:jc w:val="center"/>
              <w:rPr>
                <w:color w:val="000000"/>
              </w:rPr>
            </w:pPr>
          </w:p>
        </w:tc>
        <w:tc>
          <w:tcPr>
            <w:tcW w:w="851" w:type="dxa"/>
            <w:shd w:val="clear" w:color="auto" w:fill="auto"/>
            <w:vAlign w:val="center"/>
          </w:tcPr>
          <w:p w14:paraId="5F91E966" w14:textId="77777777" w:rsidR="00817793" w:rsidRDefault="002719FC">
            <w:pPr>
              <w:spacing w:before="120" w:after="120" w:line="240" w:lineRule="auto"/>
              <w:jc w:val="center"/>
              <w:rPr>
                <w:color w:val="000000"/>
              </w:rPr>
            </w:pPr>
            <w:r>
              <w:t>9-10</w:t>
            </w:r>
          </w:p>
        </w:tc>
      </w:tr>
      <w:tr w:rsidR="00817793" w14:paraId="4080BA05" w14:textId="77777777">
        <w:trPr>
          <w:trHeight w:val="762"/>
        </w:trPr>
        <w:tc>
          <w:tcPr>
            <w:tcW w:w="2480" w:type="dxa"/>
            <w:shd w:val="clear" w:color="auto" w:fill="auto"/>
            <w:vAlign w:val="center"/>
          </w:tcPr>
          <w:p w14:paraId="795E7DF5" w14:textId="77777777" w:rsidR="00817793" w:rsidRDefault="002719FC">
            <w:pPr>
              <w:spacing w:before="120" w:after="120" w:line="240" w:lineRule="auto"/>
              <w:jc w:val="left"/>
              <w:rPr>
                <w:color w:val="000000"/>
              </w:rPr>
            </w:pPr>
            <w:r>
              <w:rPr>
                <w:color w:val="000000"/>
              </w:rPr>
              <w:t>Perspectiva da análise</w:t>
            </w:r>
          </w:p>
        </w:tc>
        <w:tc>
          <w:tcPr>
            <w:tcW w:w="992" w:type="dxa"/>
            <w:shd w:val="clear" w:color="auto" w:fill="auto"/>
            <w:vAlign w:val="center"/>
          </w:tcPr>
          <w:p w14:paraId="44240AAE" w14:textId="77777777" w:rsidR="00817793" w:rsidRDefault="002719FC">
            <w:pPr>
              <w:spacing w:before="120" w:after="120" w:line="240" w:lineRule="auto"/>
              <w:jc w:val="center"/>
              <w:rPr>
                <w:color w:val="000000"/>
              </w:rPr>
            </w:pPr>
            <w:r>
              <w:rPr>
                <w:color w:val="000000"/>
              </w:rPr>
              <w:t>5</w:t>
            </w:r>
          </w:p>
        </w:tc>
        <w:tc>
          <w:tcPr>
            <w:tcW w:w="5670" w:type="dxa"/>
            <w:shd w:val="clear" w:color="auto" w:fill="auto"/>
            <w:vAlign w:val="center"/>
          </w:tcPr>
          <w:p w14:paraId="281AC038" w14:textId="77777777" w:rsidR="00817793" w:rsidRDefault="002719FC">
            <w:pPr>
              <w:spacing w:before="120" w:after="120" w:line="240" w:lineRule="auto"/>
              <w:jc w:val="left"/>
              <w:rPr>
                <w:color w:val="000000"/>
              </w:rPr>
            </w:pPr>
            <w:r>
              <w:rPr>
                <w:color w:val="000000"/>
              </w:rPr>
              <w:t>A perspectiva da saúde suplementar é adotada e apresentada de forma clara, contendo justificativa.</w:t>
            </w:r>
          </w:p>
        </w:tc>
        <w:tc>
          <w:tcPr>
            <w:tcW w:w="993" w:type="dxa"/>
            <w:shd w:val="clear" w:color="auto" w:fill="auto"/>
            <w:vAlign w:val="center"/>
          </w:tcPr>
          <w:p w14:paraId="53D1388A"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0EF46479" w14:textId="77777777" w:rsidR="00817793" w:rsidRDefault="00817793">
            <w:pPr>
              <w:spacing w:before="120" w:after="120" w:line="240" w:lineRule="auto"/>
              <w:jc w:val="center"/>
              <w:rPr>
                <w:color w:val="000000"/>
              </w:rPr>
            </w:pPr>
          </w:p>
        </w:tc>
        <w:tc>
          <w:tcPr>
            <w:tcW w:w="851" w:type="dxa"/>
            <w:shd w:val="clear" w:color="auto" w:fill="auto"/>
            <w:vAlign w:val="center"/>
          </w:tcPr>
          <w:p w14:paraId="3AB58C42" w14:textId="77777777" w:rsidR="00817793" w:rsidRDefault="00817793">
            <w:pPr>
              <w:spacing w:before="120" w:after="120" w:line="240" w:lineRule="auto"/>
              <w:jc w:val="center"/>
              <w:rPr>
                <w:color w:val="000000"/>
              </w:rPr>
            </w:pPr>
          </w:p>
        </w:tc>
        <w:tc>
          <w:tcPr>
            <w:tcW w:w="708" w:type="dxa"/>
            <w:shd w:val="clear" w:color="auto" w:fill="auto"/>
            <w:vAlign w:val="center"/>
          </w:tcPr>
          <w:p w14:paraId="4EA9BA15" w14:textId="77777777" w:rsidR="00817793" w:rsidRDefault="00817793">
            <w:pPr>
              <w:spacing w:before="120" w:after="120" w:line="240" w:lineRule="auto"/>
              <w:jc w:val="center"/>
              <w:rPr>
                <w:color w:val="000000"/>
              </w:rPr>
            </w:pPr>
          </w:p>
        </w:tc>
        <w:tc>
          <w:tcPr>
            <w:tcW w:w="851" w:type="dxa"/>
            <w:shd w:val="clear" w:color="auto" w:fill="auto"/>
            <w:vAlign w:val="center"/>
          </w:tcPr>
          <w:p w14:paraId="34BD2DED" w14:textId="77777777" w:rsidR="00817793" w:rsidRDefault="002719FC">
            <w:pPr>
              <w:spacing w:before="120" w:after="120" w:line="240" w:lineRule="auto"/>
              <w:jc w:val="center"/>
              <w:rPr>
                <w:color w:val="000000"/>
              </w:rPr>
            </w:pPr>
            <w:r>
              <w:t>9</w:t>
            </w:r>
          </w:p>
        </w:tc>
      </w:tr>
      <w:tr w:rsidR="00817793" w14:paraId="2E0428E5" w14:textId="77777777">
        <w:trPr>
          <w:trHeight w:val="762"/>
        </w:trPr>
        <w:tc>
          <w:tcPr>
            <w:tcW w:w="2480" w:type="dxa"/>
            <w:shd w:val="clear" w:color="auto" w:fill="auto"/>
            <w:vAlign w:val="center"/>
          </w:tcPr>
          <w:p w14:paraId="20CDC487" w14:textId="77777777" w:rsidR="00817793" w:rsidRDefault="002719FC">
            <w:pPr>
              <w:spacing w:before="120" w:after="120" w:line="240" w:lineRule="auto"/>
              <w:jc w:val="left"/>
              <w:rPr>
                <w:color w:val="000000"/>
              </w:rPr>
            </w:pPr>
            <w:r>
              <w:rPr>
                <w:color w:val="000000"/>
              </w:rPr>
              <w:t>Horizonte temporal</w:t>
            </w:r>
          </w:p>
        </w:tc>
        <w:tc>
          <w:tcPr>
            <w:tcW w:w="992" w:type="dxa"/>
            <w:shd w:val="clear" w:color="auto" w:fill="auto"/>
            <w:vAlign w:val="center"/>
          </w:tcPr>
          <w:p w14:paraId="1B87E3DE" w14:textId="77777777" w:rsidR="00817793" w:rsidRDefault="002719FC">
            <w:pPr>
              <w:spacing w:before="120" w:after="120" w:line="240" w:lineRule="auto"/>
              <w:jc w:val="center"/>
              <w:rPr>
                <w:color w:val="000000"/>
              </w:rPr>
            </w:pPr>
            <w:r>
              <w:rPr>
                <w:color w:val="000000"/>
              </w:rPr>
              <w:t>6</w:t>
            </w:r>
          </w:p>
        </w:tc>
        <w:tc>
          <w:tcPr>
            <w:tcW w:w="5670" w:type="dxa"/>
            <w:shd w:val="clear" w:color="auto" w:fill="auto"/>
            <w:vAlign w:val="center"/>
          </w:tcPr>
          <w:p w14:paraId="53E2199E" w14:textId="77777777" w:rsidR="00817793" w:rsidRDefault="002719FC">
            <w:pPr>
              <w:spacing w:before="120" w:after="120" w:line="240" w:lineRule="auto"/>
              <w:jc w:val="left"/>
              <w:rPr>
                <w:color w:val="000000"/>
              </w:rPr>
            </w:pPr>
            <w:r>
              <w:rPr>
                <w:color w:val="000000"/>
              </w:rPr>
              <w:t>O horizonte temporal para custos e desfechos é adequado e a justificativa para sua escolha é apresentada de forma clara.</w:t>
            </w:r>
          </w:p>
        </w:tc>
        <w:tc>
          <w:tcPr>
            <w:tcW w:w="993" w:type="dxa"/>
            <w:shd w:val="clear" w:color="auto" w:fill="auto"/>
            <w:vAlign w:val="center"/>
          </w:tcPr>
          <w:p w14:paraId="7332107B" w14:textId="77777777" w:rsidR="00817793" w:rsidRDefault="00817793">
            <w:pPr>
              <w:spacing w:before="120" w:after="120" w:line="240" w:lineRule="auto"/>
              <w:jc w:val="center"/>
              <w:rPr>
                <w:color w:val="000000"/>
              </w:rPr>
            </w:pPr>
          </w:p>
        </w:tc>
        <w:tc>
          <w:tcPr>
            <w:tcW w:w="850" w:type="dxa"/>
            <w:shd w:val="clear" w:color="auto" w:fill="auto"/>
            <w:vAlign w:val="center"/>
          </w:tcPr>
          <w:p w14:paraId="5D98A3F1" w14:textId="77777777" w:rsidR="00817793" w:rsidRDefault="00817793">
            <w:pPr>
              <w:spacing w:before="120" w:after="120" w:line="240" w:lineRule="auto"/>
              <w:jc w:val="center"/>
              <w:rPr>
                <w:color w:val="000000"/>
              </w:rPr>
            </w:pPr>
          </w:p>
        </w:tc>
        <w:tc>
          <w:tcPr>
            <w:tcW w:w="851" w:type="dxa"/>
            <w:shd w:val="clear" w:color="auto" w:fill="auto"/>
            <w:vAlign w:val="center"/>
          </w:tcPr>
          <w:p w14:paraId="721A3845"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50C86B8C" w14:textId="77777777" w:rsidR="00817793" w:rsidRDefault="00817793">
            <w:pPr>
              <w:spacing w:before="120" w:after="120" w:line="240" w:lineRule="auto"/>
              <w:jc w:val="center"/>
              <w:rPr>
                <w:color w:val="000000"/>
              </w:rPr>
            </w:pPr>
          </w:p>
        </w:tc>
        <w:tc>
          <w:tcPr>
            <w:tcW w:w="851" w:type="dxa"/>
            <w:shd w:val="clear" w:color="auto" w:fill="auto"/>
            <w:vAlign w:val="center"/>
          </w:tcPr>
          <w:p w14:paraId="5D369756" w14:textId="77777777" w:rsidR="00817793" w:rsidRDefault="002719FC">
            <w:pPr>
              <w:spacing w:before="120" w:after="120" w:line="240" w:lineRule="auto"/>
              <w:jc w:val="center"/>
              <w:rPr>
                <w:color w:val="000000"/>
              </w:rPr>
            </w:pPr>
            <w:r>
              <w:t>10</w:t>
            </w:r>
          </w:p>
        </w:tc>
      </w:tr>
      <w:tr w:rsidR="00817793" w14:paraId="19ADED8F" w14:textId="77777777">
        <w:trPr>
          <w:trHeight w:val="762"/>
        </w:trPr>
        <w:tc>
          <w:tcPr>
            <w:tcW w:w="2480" w:type="dxa"/>
            <w:shd w:val="clear" w:color="auto" w:fill="auto"/>
            <w:vAlign w:val="center"/>
          </w:tcPr>
          <w:p w14:paraId="72DB1E2A" w14:textId="77777777" w:rsidR="00817793" w:rsidRDefault="002719FC">
            <w:pPr>
              <w:spacing w:before="120" w:after="120" w:line="240" w:lineRule="auto"/>
              <w:jc w:val="left"/>
              <w:rPr>
                <w:color w:val="000000"/>
              </w:rPr>
            </w:pPr>
            <w:r>
              <w:rPr>
                <w:color w:val="000000"/>
              </w:rPr>
              <w:lastRenderedPageBreak/>
              <w:t>Taxa de desconto</w:t>
            </w:r>
          </w:p>
        </w:tc>
        <w:tc>
          <w:tcPr>
            <w:tcW w:w="992" w:type="dxa"/>
            <w:shd w:val="clear" w:color="auto" w:fill="auto"/>
            <w:vAlign w:val="center"/>
          </w:tcPr>
          <w:p w14:paraId="109B8484" w14:textId="77777777" w:rsidR="00817793" w:rsidRDefault="002719FC">
            <w:pPr>
              <w:spacing w:before="120" w:after="120" w:line="240" w:lineRule="auto"/>
              <w:jc w:val="center"/>
              <w:rPr>
                <w:color w:val="000000"/>
              </w:rPr>
            </w:pPr>
            <w:r>
              <w:rPr>
                <w:color w:val="000000"/>
              </w:rPr>
              <w:t>7</w:t>
            </w:r>
          </w:p>
        </w:tc>
        <w:tc>
          <w:tcPr>
            <w:tcW w:w="5670" w:type="dxa"/>
            <w:shd w:val="clear" w:color="auto" w:fill="auto"/>
            <w:vAlign w:val="center"/>
          </w:tcPr>
          <w:p w14:paraId="2C28B4AF" w14:textId="77777777" w:rsidR="00817793" w:rsidRDefault="002719FC">
            <w:pPr>
              <w:spacing w:before="120" w:after="120" w:line="240" w:lineRule="auto"/>
              <w:jc w:val="left"/>
              <w:rPr>
                <w:color w:val="000000"/>
              </w:rPr>
            </w:pPr>
            <w:r>
              <w:rPr>
                <w:color w:val="000000"/>
              </w:rPr>
              <w:t>A taxa de desconto é adequada (5%) e é adotada para custos e desfechos.</w:t>
            </w:r>
          </w:p>
        </w:tc>
        <w:tc>
          <w:tcPr>
            <w:tcW w:w="993" w:type="dxa"/>
            <w:shd w:val="clear" w:color="auto" w:fill="auto"/>
            <w:vAlign w:val="center"/>
          </w:tcPr>
          <w:p w14:paraId="0D0AC82B"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60EDCC55" w14:textId="77777777" w:rsidR="00817793" w:rsidRDefault="00817793">
            <w:pPr>
              <w:spacing w:before="120" w:after="120" w:line="240" w:lineRule="auto"/>
              <w:jc w:val="center"/>
              <w:rPr>
                <w:color w:val="000000"/>
              </w:rPr>
            </w:pPr>
          </w:p>
        </w:tc>
        <w:tc>
          <w:tcPr>
            <w:tcW w:w="851" w:type="dxa"/>
            <w:shd w:val="clear" w:color="auto" w:fill="auto"/>
            <w:vAlign w:val="center"/>
          </w:tcPr>
          <w:p w14:paraId="3BBB8815" w14:textId="77777777" w:rsidR="00817793" w:rsidRDefault="00817793">
            <w:pPr>
              <w:spacing w:before="120" w:after="120" w:line="240" w:lineRule="auto"/>
              <w:jc w:val="center"/>
              <w:rPr>
                <w:color w:val="000000"/>
              </w:rPr>
            </w:pPr>
          </w:p>
        </w:tc>
        <w:tc>
          <w:tcPr>
            <w:tcW w:w="708" w:type="dxa"/>
            <w:shd w:val="clear" w:color="auto" w:fill="auto"/>
            <w:vAlign w:val="center"/>
          </w:tcPr>
          <w:p w14:paraId="55B91B0D" w14:textId="77777777" w:rsidR="00817793" w:rsidRDefault="00817793">
            <w:pPr>
              <w:spacing w:before="120" w:after="120" w:line="240" w:lineRule="auto"/>
              <w:jc w:val="center"/>
              <w:rPr>
                <w:color w:val="000000"/>
              </w:rPr>
            </w:pPr>
          </w:p>
        </w:tc>
        <w:tc>
          <w:tcPr>
            <w:tcW w:w="851" w:type="dxa"/>
            <w:shd w:val="clear" w:color="auto" w:fill="auto"/>
            <w:vAlign w:val="center"/>
          </w:tcPr>
          <w:p w14:paraId="446DE71A" w14:textId="77777777" w:rsidR="00817793" w:rsidRDefault="002719FC">
            <w:pPr>
              <w:spacing w:before="120" w:after="120" w:line="240" w:lineRule="auto"/>
              <w:jc w:val="center"/>
              <w:rPr>
                <w:color w:val="000000"/>
              </w:rPr>
            </w:pPr>
            <w:r>
              <w:t>10</w:t>
            </w:r>
          </w:p>
        </w:tc>
      </w:tr>
    </w:tbl>
    <w:p w14:paraId="6810F0D1" w14:textId="77777777" w:rsidR="00817793" w:rsidRDefault="00817793">
      <w:pPr>
        <w:spacing w:before="0" w:after="160" w:line="259" w:lineRule="auto"/>
        <w:jc w:val="left"/>
      </w:pPr>
    </w:p>
    <w:tbl>
      <w:tblPr>
        <w:tblStyle w:val="affff"/>
        <w:tblW w:w="1339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992"/>
        <w:gridCol w:w="5670"/>
        <w:gridCol w:w="993"/>
        <w:gridCol w:w="850"/>
        <w:gridCol w:w="851"/>
        <w:gridCol w:w="708"/>
        <w:gridCol w:w="851"/>
      </w:tblGrid>
      <w:tr w:rsidR="00817793" w14:paraId="2D7A4703" w14:textId="77777777">
        <w:trPr>
          <w:trHeight w:val="855"/>
        </w:trPr>
        <w:tc>
          <w:tcPr>
            <w:tcW w:w="2480" w:type="dxa"/>
            <w:shd w:val="clear" w:color="auto" w:fill="B4C6E7"/>
            <w:vAlign w:val="center"/>
          </w:tcPr>
          <w:p w14:paraId="071F5DF9" w14:textId="77777777" w:rsidR="00817793" w:rsidRDefault="002719FC">
            <w:pPr>
              <w:spacing w:before="120" w:after="120" w:line="240" w:lineRule="auto"/>
              <w:jc w:val="center"/>
              <w:rPr>
                <w:b/>
              </w:rPr>
            </w:pPr>
            <w:r>
              <w:rPr>
                <w:b/>
              </w:rPr>
              <w:t>Seção/Item</w:t>
            </w:r>
          </w:p>
        </w:tc>
        <w:tc>
          <w:tcPr>
            <w:tcW w:w="992" w:type="dxa"/>
            <w:shd w:val="clear" w:color="auto" w:fill="B4C6E7"/>
            <w:vAlign w:val="center"/>
          </w:tcPr>
          <w:p w14:paraId="093CD188" w14:textId="77777777" w:rsidR="00817793" w:rsidRDefault="002719FC">
            <w:pPr>
              <w:spacing w:before="120" w:after="120" w:line="240" w:lineRule="auto"/>
              <w:jc w:val="center"/>
              <w:rPr>
                <w:b/>
              </w:rPr>
            </w:pPr>
            <w:r>
              <w:rPr>
                <w:b/>
              </w:rPr>
              <w:t>Item n°</w:t>
            </w:r>
          </w:p>
        </w:tc>
        <w:tc>
          <w:tcPr>
            <w:tcW w:w="5670" w:type="dxa"/>
            <w:shd w:val="clear" w:color="auto" w:fill="B4C6E7"/>
            <w:vAlign w:val="center"/>
          </w:tcPr>
          <w:p w14:paraId="460BA03C" w14:textId="77777777" w:rsidR="00817793" w:rsidRDefault="002719FC">
            <w:pPr>
              <w:spacing w:before="120" w:after="120" w:line="240" w:lineRule="auto"/>
              <w:jc w:val="center"/>
              <w:rPr>
                <w:b/>
              </w:rPr>
            </w:pPr>
            <w:r>
              <w:rPr>
                <w:b/>
              </w:rPr>
              <w:t>Conteúdo para verificação</w:t>
            </w:r>
          </w:p>
        </w:tc>
        <w:tc>
          <w:tcPr>
            <w:tcW w:w="993" w:type="dxa"/>
            <w:shd w:val="clear" w:color="auto" w:fill="B4C6E7"/>
            <w:vAlign w:val="center"/>
          </w:tcPr>
          <w:p w14:paraId="594864AA" w14:textId="77777777" w:rsidR="00817793" w:rsidRDefault="002719FC">
            <w:pPr>
              <w:spacing w:before="120" w:after="120" w:line="240" w:lineRule="auto"/>
              <w:jc w:val="center"/>
              <w:rPr>
                <w:b/>
              </w:rPr>
            </w:pPr>
            <w:r>
              <w:rPr>
                <w:b/>
              </w:rPr>
              <w:t>Sim</w:t>
            </w:r>
          </w:p>
        </w:tc>
        <w:tc>
          <w:tcPr>
            <w:tcW w:w="850" w:type="dxa"/>
            <w:shd w:val="clear" w:color="auto" w:fill="B4C6E7"/>
            <w:vAlign w:val="center"/>
          </w:tcPr>
          <w:p w14:paraId="6B0E97B9" w14:textId="77777777" w:rsidR="00817793" w:rsidRDefault="002719FC">
            <w:pPr>
              <w:spacing w:before="120" w:after="120" w:line="240" w:lineRule="auto"/>
              <w:jc w:val="center"/>
              <w:rPr>
                <w:b/>
              </w:rPr>
            </w:pPr>
            <w:r>
              <w:rPr>
                <w:b/>
              </w:rPr>
              <w:t>Não</w:t>
            </w:r>
          </w:p>
        </w:tc>
        <w:tc>
          <w:tcPr>
            <w:tcW w:w="851" w:type="dxa"/>
            <w:shd w:val="clear" w:color="auto" w:fill="B4C6E7"/>
            <w:vAlign w:val="center"/>
          </w:tcPr>
          <w:p w14:paraId="40A570D4" w14:textId="77777777" w:rsidR="00817793" w:rsidRDefault="002719FC">
            <w:pPr>
              <w:spacing w:before="120" w:after="120" w:line="240" w:lineRule="auto"/>
              <w:jc w:val="center"/>
              <w:rPr>
                <w:b/>
              </w:rPr>
            </w:pPr>
            <w:r>
              <w:rPr>
                <w:b/>
              </w:rPr>
              <w:t>Parcial</w:t>
            </w:r>
          </w:p>
        </w:tc>
        <w:tc>
          <w:tcPr>
            <w:tcW w:w="708" w:type="dxa"/>
            <w:shd w:val="clear" w:color="auto" w:fill="B4C6E7"/>
            <w:vAlign w:val="center"/>
          </w:tcPr>
          <w:p w14:paraId="0E95CDC1" w14:textId="77777777" w:rsidR="00817793" w:rsidRDefault="002719FC">
            <w:pPr>
              <w:spacing w:before="120" w:after="120" w:line="240" w:lineRule="auto"/>
              <w:jc w:val="center"/>
              <w:rPr>
                <w:b/>
              </w:rPr>
            </w:pPr>
            <w:r>
              <w:rPr>
                <w:b/>
              </w:rPr>
              <w:t>NA</w:t>
            </w:r>
          </w:p>
        </w:tc>
        <w:tc>
          <w:tcPr>
            <w:tcW w:w="851" w:type="dxa"/>
            <w:shd w:val="clear" w:color="auto" w:fill="B4C6E7"/>
            <w:vAlign w:val="center"/>
          </w:tcPr>
          <w:p w14:paraId="09B16EBE" w14:textId="77777777" w:rsidR="00817793" w:rsidRDefault="002719FC">
            <w:pPr>
              <w:spacing w:before="120" w:after="120" w:line="240" w:lineRule="auto"/>
              <w:jc w:val="center"/>
              <w:rPr>
                <w:b/>
              </w:rPr>
            </w:pPr>
            <w:proofErr w:type="spellStart"/>
            <w:r>
              <w:rPr>
                <w:b/>
              </w:rPr>
              <w:t>Pág.nº</w:t>
            </w:r>
            <w:proofErr w:type="spellEnd"/>
          </w:p>
        </w:tc>
      </w:tr>
      <w:tr w:rsidR="00817793" w14:paraId="1A7E528F" w14:textId="77777777">
        <w:trPr>
          <w:trHeight w:val="525"/>
        </w:trPr>
        <w:tc>
          <w:tcPr>
            <w:tcW w:w="13395" w:type="dxa"/>
            <w:gridSpan w:val="8"/>
            <w:shd w:val="clear" w:color="auto" w:fill="D9E1F2"/>
            <w:vAlign w:val="center"/>
          </w:tcPr>
          <w:p w14:paraId="4FF1BD56" w14:textId="77777777" w:rsidR="00817793" w:rsidRDefault="002719FC">
            <w:pPr>
              <w:spacing w:before="120" w:after="120" w:line="240" w:lineRule="auto"/>
              <w:jc w:val="left"/>
              <w:rPr>
                <w:b/>
              </w:rPr>
            </w:pPr>
            <w:r>
              <w:rPr>
                <w:b/>
              </w:rPr>
              <w:t>Definições (cont.)</w:t>
            </w:r>
          </w:p>
        </w:tc>
      </w:tr>
      <w:tr w:rsidR="00817793" w14:paraId="6AC8718A" w14:textId="77777777">
        <w:trPr>
          <w:trHeight w:val="762"/>
        </w:trPr>
        <w:tc>
          <w:tcPr>
            <w:tcW w:w="2480" w:type="dxa"/>
            <w:shd w:val="clear" w:color="auto" w:fill="auto"/>
            <w:vAlign w:val="center"/>
          </w:tcPr>
          <w:p w14:paraId="563F7130" w14:textId="77777777" w:rsidR="00817793" w:rsidRDefault="002719FC">
            <w:pPr>
              <w:spacing w:before="120" w:after="120" w:line="240" w:lineRule="auto"/>
              <w:jc w:val="left"/>
              <w:rPr>
                <w:color w:val="000000"/>
              </w:rPr>
            </w:pPr>
            <w:r>
              <w:rPr>
                <w:color w:val="000000"/>
              </w:rPr>
              <w:t xml:space="preserve">Desfechos de saúde </w:t>
            </w:r>
          </w:p>
        </w:tc>
        <w:tc>
          <w:tcPr>
            <w:tcW w:w="992" w:type="dxa"/>
            <w:shd w:val="clear" w:color="auto" w:fill="auto"/>
            <w:vAlign w:val="center"/>
          </w:tcPr>
          <w:p w14:paraId="03853697" w14:textId="77777777" w:rsidR="00817793" w:rsidRDefault="002719FC">
            <w:pPr>
              <w:spacing w:before="120" w:after="120" w:line="240" w:lineRule="auto"/>
              <w:jc w:val="center"/>
              <w:rPr>
                <w:color w:val="000000"/>
              </w:rPr>
            </w:pPr>
            <w:r>
              <w:rPr>
                <w:color w:val="000000"/>
              </w:rPr>
              <w:t>8</w:t>
            </w:r>
          </w:p>
        </w:tc>
        <w:tc>
          <w:tcPr>
            <w:tcW w:w="5670" w:type="dxa"/>
            <w:shd w:val="clear" w:color="auto" w:fill="auto"/>
            <w:vAlign w:val="center"/>
          </w:tcPr>
          <w:p w14:paraId="21DB132E" w14:textId="77777777" w:rsidR="00817793" w:rsidRDefault="002719FC">
            <w:pPr>
              <w:spacing w:before="120" w:after="120" w:line="240" w:lineRule="auto"/>
              <w:jc w:val="left"/>
              <w:rPr>
                <w:color w:val="000000"/>
              </w:rPr>
            </w:pPr>
            <w:r>
              <w:rPr>
                <w:color w:val="000000"/>
              </w:rPr>
              <w:t>Os desfechos utilizados como medidas de benefício na avaliação são adequados e relevantes para o tipo de análise conduzida.</w:t>
            </w:r>
          </w:p>
        </w:tc>
        <w:tc>
          <w:tcPr>
            <w:tcW w:w="993" w:type="dxa"/>
            <w:shd w:val="clear" w:color="auto" w:fill="auto"/>
            <w:vAlign w:val="center"/>
          </w:tcPr>
          <w:p w14:paraId="689325E7"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74E797DC" w14:textId="77777777" w:rsidR="00817793" w:rsidRDefault="00817793">
            <w:pPr>
              <w:spacing w:before="120" w:after="120" w:line="240" w:lineRule="auto"/>
              <w:jc w:val="center"/>
              <w:rPr>
                <w:color w:val="000000"/>
              </w:rPr>
            </w:pPr>
          </w:p>
        </w:tc>
        <w:tc>
          <w:tcPr>
            <w:tcW w:w="851" w:type="dxa"/>
            <w:shd w:val="clear" w:color="auto" w:fill="auto"/>
            <w:vAlign w:val="center"/>
          </w:tcPr>
          <w:p w14:paraId="25AF7EAE" w14:textId="77777777" w:rsidR="00817793" w:rsidRDefault="00817793">
            <w:pPr>
              <w:spacing w:before="120" w:after="120" w:line="240" w:lineRule="auto"/>
              <w:jc w:val="center"/>
              <w:rPr>
                <w:color w:val="000000"/>
              </w:rPr>
            </w:pPr>
          </w:p>
        </w:tc>
        <w:tc>
          <w:tcPr>
            <w:tcW w:w="708" w:type="dxa"/>
            <w:shd w:val="clear" w:color="auto" w:fill="auto"/>
            <w:vAlign w:val="center"/>
          </w:tcPr>
          <w:p w14:paraId="2633CEB9" w14:textId="77777777" w:rsidR="00817793" w:rsidRDefault="00817793">
            <w:pPr>
              <w:spacing w:before="120" w:after="120" w:line="240" w:lineRule="auto"/>
              <w:jc w:val="center"/>
              <w:rPr>
                <w:color w:val="000000"/>
              </w:rPr>
            </w:pPr>
          </w:p>
        </w:tc>
        <w:tc>
          <w:tcPr>
            <w:tcW w:w="851" w:type="dxa"/>
            <w:shd w:val="clear" w:color="auto" w:fill="auto"/>
            <w:vAlign w:val="center"/>
          </w:tcPr>
          <w:p w14:paraId="3E1FE5D4" w14:textId="77777777" w:rsidR="00817793" w:rsidRDefault="002719FC">
            <w:pPr>
              <w:spacing w:before="120" w:after="120" w:line="240" w:lineRule="auto"/>
              <w:jc w:val="center"/>
              <w:rPr>
                <w:color w:val="000000"/>
              </w:rPr>
            </w:pPr>
            <w:r>
              <w:t>10</w:t>
            </w:r>
          </w:p>
        </w:tc>
      </w:tr>
      <w:tr w:rsidR="00817793" w14:paraId="27CE1F65" w14:textId="77777777">
        <w:trPr>
          <w:trHeight w:val="762"/>
        </w:trPr>
        <w:tc>
          <w:tcPr>
            <w:tcW w:w="2480" w:type="dxa"/>
            <w:shd w:val="clear" w:color="auto" w:fill="auto"/>
            <w:vAlign w:val="center"/>
          </w:tcPr>
          <w:p w14:paraId="7A454AEA" w14:textId="77777777" w:rsidR="00817793" w:rsidRDefault="002719FC">
            <w:pPr>
              <w:spacing w:before="120" w:after="120" w:line="240" w:lineRule="auto"/>
              <w:jc w:val="left"/>
              <w:rPr>
                <w:color w:val="000000"/>
              </w:rPr>
            </w:pPr>
            <w:r>
              <w:rPr>
                <w:color w:val="000000"/>
              </w:rPr>
              <w:t>Medida de efeito</w:t>
            </w:r>
          </w:p>
        </w:tc>
        <w:tc>
          <w:tcPr>
            <w:tcW w:w="992" w:type="dxa"/>
            <w:shd w:val="clear" w:color="auto" w:fill="auto"/>
            <w:vAlign w:val="center"/>
          </w:tcPr>
          <w:p w14:paraId="02DC4293" w14:textId="77777777" w:rsidR="00817793" w:rsidRDefault="002719FC">
            <w:pPr>
              <w:spacing w:before="120" w:after="120" w:line="240" w:lineRule="auto"/>
              <w:jc w:val="center"/>
              <w:rPr>
                <w:color w:val="000000"/>
              </w:rPr>
            </w:pPr>
            <w:r>
              <w:rPr>
                <w:color w:val="000000"/>
              </w:rPr>
              <w:t>9</w:t>
            </w:r>
          </w:p>
        </w:tc>
        <w:tc>
          <w:tcPr>
            <w:tcW w:w="5670" w:type="dxa"/>
            <w:shd w:val="clear" w:color="auto" w:fill="auto"/>
            <w:vAlign w:val="center"/>
          </w:tcPr>
          <w:p w14:paraId="2480298B" w14:textId="77777777" w:rsidR="00817793" w:rsidRDefault="002719FC">
            <w:pPr>
              <w:spacing w:before="120" w:after="120" w:line="240" w:lineRule="auto"/>
              <w:jc w:val="left"/>
              <w:rPr>
                <w:color w:val="000000"/>
              </w:rPr>
            </w:pPr>
            <w:r>
              <w:rPr>
                <w:color w:val="000000"/>
              </w:rPr>
              <w:t>A estimativa de efeito da intervenção e dos comparadores é descrita detalhadamente e é concordante com a apresentada no PTC/RS e no formulário da proposta.</w:t>
            </w:r>
          </w:p>
        </w:tc>
        <w:tc>
          <w:tcPr>
            <w:tcW w:w="993" w:type="dxa"/>
            <w:shd w:val="clear" w:color="auto" w:fill="auto"/>
            <w:vAlign w:val="center"/>
          </w:tcPr>
          <w:p w14:paraId="613AB33D"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4B1D477B" w14:textId="77777777" w:rsidR="00817793" w:rsidRDefault="00817793">
            <w:pPr>
              <w:spacing w:before="120" w:after="120" w:line="240" w:lineRule="auto"/>
              <w:jc w:val="center"/>
              <w:rPr>
                <w:color w:val="000000"/>
              </w:rPr>
            </w:pPr>
          </w:p>
        </w:tc>
        <w:tc>
          <w:tcPr>
            <w:tcW w:w="851" w:type="dxa"/>
            <w:shd w:val="clear" w:color="auto" w:fill="auto"/>
            <w:vAlign w:val="center"/>
          </w:tcPr>
          <w:p w14:paraId="65BE1F1D" w14:textId="77777777" w:rsidR="00817793" w:rsidRDefault="00817793">
            <w:pPr>
              <w:spacing w:before="120" w:after="120" w:line="240" w:lineRule="auto"/>
              <w:jc w:val="center"/>
              <w:rPr>
                <w:color w:val="000000"/>
              </w:rPr>
            </w:pPr>
          </w:p>
        </w:tc>
        <w:tc>
          <w:tcPr>
            <w:tcW w:w="708" w:type="dxa"/>
            <w:shd w:val="clear" w:color="auto" w:fill="auto"/>
            <w:vAlign w:val="center"/>
          </w:tcPr>
          <w:p w14:paraId="6AFAB436" w14:textId="77777777" w:rsidR="00817793" w:rsidRDefault="00817793">
            <w:pPr>
              <w:spacing w:before="120" w:after="120" w:line="240" w:lineRule="auto"/>
              <w:jc w:val="center"/>
              <w:rPr>
                <w:color w:val="000000"/>
              </w:rPr>
            </w:pPr>
          </w:p>
        </w:tc>
        <w:tc>
          <w:tcPr>
            <w:tcW w:w="851" w:type="dxa"/>
            <w:shd w:val="clear" w:color="auto" w:fill="auto"/>
            <w:vAlign w:val="center"/>
          </w:tcPr>
          <w:p w14:paraId="1CC7C50F" w14:textId="77777777" w:rsidR="00817793" w:rsidRDefault="002719FC">
            <w:pPr>
              <w:spacing w:before="120" w:after="120" w:line="240" w:lineRule="auto"/>
              <w:jc w:val="center"/>
              <w:rPr>
                <w:color w:val="000000"/>
              </w:rPr>
            </w:pPr>
            <w:r>
              <w:t>10-17</w:t>
            </w:r>
          </w:p>
        </w:tc>
      </w:tr>
      <w:tr w:rsidR="00817793" w14:paraId="40440625" w14:textId="77777777">
        <w:trPr>
          <w:trHeight w:val="762"/>
        </w:trPr>
        <w:tc>
          <w:tcPr>
            <w:tcW w:w="2480" w:type="dxa"/>
            <w:shd w:val="clear" w:color="auto" w:fill="auto"/>
            <w:vAlign w:val="center"/>
          </w:tcPr>
          <w:p w14:paraId="53072AAF" w14:textId="77777777" w:rsidR="00817793" w:rsidRDefault="002719FC">
            <w:pPr>
              <w:spacing w:before="120" w:after="120" w:line="240" w:lineRule="auto"/>
              <w:jc w:val="left"/>
              <w:rPr>
                <w:color w:val="000000"/>
              </w:rPr>
            </w:pPr>
            <w:r>
              <w:rPr>
                <w:color w:val="000000"/>
              </w:rPr>
              <w:t>Mensuração e valoração dos desfechos baseados em preferência (se aplicável)</w:t>
            </w:r>
          </w:p>
        </w:tc>
        <w:tc>
          <w:tcPr>
            <w:tcW w:w="992" w:type="dxa"/>
            <w:shd w:val="clear" w:color="auto" w:fill="auto"/>
            <w:vAlign w:val="center"/>
          </w:tcPr>
          <w:p w14:paraId="31830EAB" w14:textId="77777777" w:rsidR="00817793" w:rsidRDefault="002719FC">
            <w:pPr>
              <w:spacing w:before="120" w:after="120" w:line="240" w:lineRule="auto"/>
              <w:jc w:val="center"/>
              <w:rPr>
                <w:color w:val="000000"/>
              </w:rPr>
            </w:pPr>
            <w:r>
              <w:rPr>
                <w:color w:val="000000"/>
              </w:rPr>
              <w:t>10</w:t>
            </w:r>
          </w:p>
        </w:tc>
        <w:tc>
          <w:tcPr>
            <w:tcW w:w="5670" w:type="dxa"/>
            <w:shd w:val="clear" w:color="auto" w:fill="auto"/>
            <w:vAlign w:val="center"/>
          </w:tcPr>
          <w:p w14:paraId="5CF67484" w14:textId="77777777" w:rsidR="00817793" w:rsidRDefault="002719FC">
            <w:pPr>
              <w:spacing w:before="120" w:after="120" w:line="240" w:lineRule="auto"/>
              <w:jc w:val="left"/>
              <w:rPr>
                <w:color w:val="000000"/>
              </w:rPr>
            </w:pPr>
            <w:r>
              <w:rPr>
                <w:color w:val="000000"/>
              </w:rPr>
              <w:t>A mensuração e a valoração dos desfechos baseados em preferência são adequadas e foram apresentadas de forma clara.</w:t>
            </w:r>
          </w:p>
        </w:tc>
        <w:tc>
          <w:tcPr>
            <w:tcW w:w="993" w:type="dxa"/>
            <w:shd w:val="clear" w:color="auto" w:fill="auto"/>
            <w:vAlign w:val="center"/>
          </w:tcPr>
          <w:p w14:paraId="042C5D41" w14:textId="77777777" w:rsidR="00817793" w:rsidRDefault="00817793">
            <w:pPr>
              <w:spacing w:before="120" w:after="120" w:line="240" w:lineRule="auto"/>
              <w:jc w:val="center"/>
              <w:rPr>
                <w:color w:val="000000"/>
              </w:rPr>
            </w:pPr>
          </w:p>
        </w:tc>
        <w:tc>
          <w:tcPr>
            <w:tcW w:w="850" w:type="dxa"/>
            <w:shd w:val="clear" w:color="auto" w:fill="auto"/>
            <w:vAlign w:val="center"/>
          </w:tcPr>
          <w:p w14:paraId="4D2E12B8" w14:textId="77777777" w:rsidR="00817793" w:rsidRDefault="00817793">
            <w:pPr>
              <w:spacing w:before="120" w:after="120" w:line="240" w:lineRule="auto"/>
              <w:jc w:val="center"/>
              <w:rPr>
                <w:color w:val="000000"/>
              </w:rPr>
            </w:pPr>
          </w:p>
        </w:tc>
        <w:tc>
          <w:tcPr>
            <w:tcW w:w="851" w:type="dxa"/>
            <w:shd w:val="clear" w:color="auto" w:fill="auto"/>
            <w:vAlign w:val="center"/>
          </w:tcPr>
          <w:p w14:paraId="308F224F" w14:textId="77777777" w:rsidR="00817793" w:rsidRDefault="00817793">
            <w:pPr>
              <w:spacing w:before="120" w:after="120" w:line="240" w:lineRule="auto"/>
              <w:jc w:val="center"/>
              <w:rPr>
                <w:color w:val="000000"/>
              </w:rPr>
            </w:pPr>
          </w:p>
        </w:tc>
        <w:tc>
          <w:tcPr>
            <w:tcW w:w="708" w:type="dxa"/>
            <w:shd w:val="clear" w:color="auto" w:fill="auto"/>
            <w:vAlign w:val="center"/>
          </w:tcPr>
          <w:p w14:paraId="7DE7B6B6"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5E6D6F63" w14:textId="77777777" w:rsidR="00817793" w:rsidRDefault="00817793">
            <w:pPr>
              <w:spacing w:before="120" w:after="120" w:line="240" w:lineRule="auto"/>
              <w:jc w:val="center"/>
              <w:rPr>
                <w:color w:val="000000"/>
              </w:rPr>
            </w:pPr>
          </w:p>
        </w:tc>
      </w:tr>
      <w:tr w:rsidR="00817793" w14:paraId="51129DEF" w14:textId="77777777">
        <w:trPr>
          <w:trHeight w:val="525"/>
        </w:trPr>
        <w:tc>
          <w:tcPr>
            <w:tcW w:w="13395" w:type="dxa"/>
            <w:gridSpan w:val="8"/>
            <w:shd w:val="clear" w:color="auto" w:fill="D9E1F2"/>
            <w:vAlign w:val="center"/>
          </w:tcPr>
          <w:p w14:paraId="72ED9495" w14:textId="77777777" w:rsidR="00817793" w:rsidRDefault="002719FC">
            <w:pPr>
              <w:spacing w:before="120" w:after="120" w:line="240" w:lineRule="auto"/>
              <w:jc w:val="left"/>
              <w:rPr>
                <w:b/>
              </w:rPr>
            </w:pPr>
            <w:r>
              <w:rPr>
                <w:b/>
              </w:rPr>
              <w:t>Custos</w:t>
            </w:r>
          </w:p>
        </w:tc>
      </w:tr>
      <w:tr w:rsidR="00817793" w14:paraId="64E8CDF1" w14:textId="77777777">
        <w:trPr>
          <w:trHeight w:val="762"/>
        </w:trPr>
        <w:tc>
          <w:tcPr>
            <w:tcW w:w="2480" w:type="dxa"/>
            <w:shd w:val="clear" w:color="auto" w:fill="auto"/>
            <w:vAlign w:val="center"/>
          </w:tcPr>
          <w:p w14:paraId="6600756C" w14:textId="77777777" w:rsidR="00817793" w:rsidRDefault="002719FC">
            <w:pPr>
              <w:spacing w:before="120" w:after="120" w:line="240" w:lineRule="auto"/>
              <w:jc w:val="left"/>
              <w:rPr>
                <w:color w:val="000000"/>
              </w:rPr>
            </w:pPr>
            <w:r>
              <w:rPr>
                <w:color w:val="000000"/>
              </w:rPr>
              <w:t>Componentes e fontes (intervenção)</w:t>
            </w:r>
          </w:p>
        </w:tc>
        <w:tc>
          <w:tcPr>
            <w:tcW w:w="992" w:type="dxa"/>
            <w:shd w:val="clear" w:color="auto" w:fill="auto"/>
            <w:vAlign w:val="center"/>
          </w:tcPr>
          <w:p w14:paraId="4737E36C" w14:textId="77777777" w:rsidR="00817793" w:rsidRDefault="002719FC">
            <w:pPr>
              <w:spacing w:before="120" w:after="120" w:line="240" w:lineRule="auto"/>
              <w:jc w:val="center"/>
              <w:rPr>
                <w:color w:val="000000"/>
              </w:rPr>
            </w:pPr>
            <w:r>
              <w:rPr>
                <w:color w:val="000000"/>
              </w:rPr>
              <w:t>11</w:t>
            </w:r>
          </w:p>
        </w:tc>
        <w:tc>
          <w:tcPr>
            <w:tcW w:w="5670" w:type="dxa"/>
            <w:shd w:val="clear" w:color="auto" w:fill="auto"/>
            <w:vAlign w:val="center"/>
          </w:tcPr>
          <w:p w14:paraId="27A81E01" w14:textId="77777777" w:rsidR="00817793" w:rsidRDefault="002719FC">
            <w:pPr>
              <w:spacing w:before="120" w:after="120" w:line="240" w:lineRule="auto"/>
              <w:jc w:val="left"/>
              <w:rPr>
                <w:color w:val="000000"/>
              </w:rPr>
            </w:pPr>
            <w:r>
              <w:rPr>
                <w:color w:val="000000"/>
              </w:rPr>
              <w:t>Os componentes e as fontes dos custos da intervenção são adequados e apresentados de forma clara.</w:t>
            </w:r>
          </w:p>
        </w:tc>
        <w:tc>
          <w:tcPr>
            <w:tcW w:w="993" w:type="dxa"/>
            <w:shd w:val="clear" w:color="auto" w:fill="auto"/>
            <w:vAlign w:val="center"/>
          </w:tcPr>
          <w:p w14:paraId="32FD3CBE"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7B969857" w14:textId="77777777" w:rsidR="00817793" w:rsidRDefault="00817793">
            <w:pPr>
              <w:spacing w:before="120" w:after="120" w:line="240" w:lineRule="auto"/>
              <w:jc w:val="center"/>
              <w:rPr>
                <w:color w:val="000000"/>
              </w:rPr>
            </w:pPr>
          </w:p>
        </w:tc>
        <w:tc>
          <w:tcPr>
            <w:tcW w:w="851" w:type="dxa"/>
            <w:shd w:val="clear" w:color="auto" w:fill="auto"/>
            <w:vAlign w:val="center"/>
          </w:tcPr>
          <w:p w14:paraId="0FE634FD" w14:textId="77777777" w:rsidR="00817793" w:rsidRDefault="00817793">
            <w:pPr>
              <w:spacing w:before="120" w:after="120" w:line="240" w:lineRule="auto"/>
              <w:jc w:val="center"/>
              <w:rPr>
                <w:color w:val="000000"/>
              </w:rPr>
            </w:pPr>
          </w:p>
        </w:tc>
        <w:tc>
          <w:tcPr>
            <w:tcW w:w="708" w:type="dxa"/>
            <w:shd w:val="clear" w:color="auto" w:fill="auto"/>
            <w:vAlign w:val="center"/>
          </w:tcPr>
          <w:p w14:paraId="62A1F980" w14:textId="77777777" w:rsidR="00817793" w:rsidRDefault="00817793">
            <w:pPr>
              <w:spacing w:before="120" w:after="120" w:line="240" w:lineRule="auto"/>
              <w:jc w:val="center"/>
              <w:rPr>
                <w:color w:val="000000"/>
              </w:rPr>
            </w:pPr>
          </w:p>
        </w:tc>
        <w:tc>
          <w:tcPr>
            <w:tcW w:w="851" w:type="dxa"/>
            <w:shd w:val="clear" w:color="auto" w:fill="auto"/>
            <w:vAlign w:val="center"/>
          </w:tcPr>
          <w:p w14:paraId="111B77A1" w14:textId="77777777" w:rsidR="00817793" w:rsidRDefault="002719FC">
            <w:pPr>
              <w:spacing w:before="120" w:after="120" w:line="240" w:lineRule="auto"/>
              <w:jc w:val="center"/>
              <w:rPr>
                <w:color w:val="000000"/>
              </w:rPr>
            </w:pPr>
            <w:r>
              <w:t>17</w:t>
            </w:r>
          </w:p>
        </w:tc>
      </w:tr>
      <w:tr w:rsidR="00817793" w14:paraId="18F60799" w14:textId="77777777">
        <w:trPr>
          <w:trHeight w:val="762"/>
        </w:trPr>
        <w:tc>
          <w:tcPr>
            <w:tcW w:w="2480" w:type="dxa"/>
            <w:shd w:val="clear" w:color="auto" w:fill="auto"/>
            <w:vAlign w:val="center"/>
          </w:tcPr>
          <w:p w14:paraId="5C5E319C" w14:textId="77777777" w:rsidR="00817793" w:rsidRDefault="002719FC">
            <w:pPr>
              <w:spacing w:before="120" w:after="120" w:line="240" w:lineRule="auto"/>
              <w:jc w:val="left"/>
              <w:rPr>
                <w:color w:val="000000"/>
              </w:rPr>
            </w:pPr>
            <w:r>
              <w:rPr>
                <w:color w:val="000000"/>
              </w:rPr>
              <w:lastRenderedPageBreak/>
              <w:t>Componentes e fontes (comparadores)</w:t>
            </w:r>
          </w:p>
        </w:tc>
        <w:tc>
          <w:tcPr>
            <w:tcW w:w="992" w:type="dxa"/>
            <w:shd w:val="clear" w:color="auto" w:fill="auto"/>
            <w:vAlign w:val="center"/>
          </w:tcPr>
          <w:p w14:paraId="48DF98D7" w14:textId="77777777" w:rsidR="00817793" w:rsidRDefault="002719FC">
            <w:pPr>
              <w:spacing w:before="120" w:after="120" w:line="240" w:lineRule="auto"/>
              <w:jc w:val="center"/>
              <w:rPr>
                <w:color w:val="000000"/>
              </w:rPr>
            </w:pPr>
            <w:r>
              <w:rPr>
                <w:color w:val="000000"/>
              </w:rPr>
              <w:t>12</w:t>
            </w:r>
          </w:p>
        </w:tc>
        <w:tc>
          <w:tcPr>
            <w:tcW w:w="5670" w:type="dxa"/>
            <w:shd w:val="clear" w:color="auto" w:fill="auto"/>
            <w:vAlign w:val="center"/>
          </w:tcPr>
          <w:p w14:paraId="12DBB2F6" w14:textId="77777777" w:rsidR="00817793" w:rsidRDefault="002719FC">
            <w:pPr>
              <w:spacing w:before="120" w:after="120" w:line="240" w:lineRule="auto"/>
              <w:jc w:val="left"/>
              <w:rPr>
                <w:color w:val="000000"/>
              </w:rPr>
            </w:pPr>
            <w:r>
              <w:rPr>
                <w:color w:val="000000"/>
              </w:rPr>
              <w:t>Os componentes e as fontes dos custos do(s) comparador(es) são adequados e apresentados de forma clara.</w:t>
            </w:r>
          </w:p>
        </w:tc>
        <w:tc>
          <w:tcPr>
            <w:tcW w:w="993" w:type="dxa"/>
            <w:shd w:val="clear" w:color="auto" w:fill="auto"/>
            <w:vAlign w:val="center"/>
          </w:tcPr>
          <w:p w14:paraId="300079F4" w14:textId="77777777" w:rsidR="00817793" w:rsidRDefault="00817793">
            <w:pPr>
              <w:spacing w:before="120" w:after="120" w:line="240" w:lineRule="auto"/>
              <w:jc w:val="center"/>
              <w:rPr>
                <w:color w:val="000000"/>
              </w:rPr>
            </w:pPr>
          </w:p>
        </w:tc>
        <w:tc>
          <w:tcPr>
            <w:tcW w:w="850" w:type="dxa"/>
            <w:shd w:val="clear" w:color="auto" w:fill="auto"/>
            <w:vAlign w:val="center"/>
          </w:tcPr>
          <w:p w14:paraId="7AB39700"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299D8616" w14:textId="77777777" w:rsidR="00817793" w:rsidRDefault="00817793">
            <w:pPr>
              <w:spacing w:before="120" w:after="120" w:line="240" w:lineRule="auto"/>
              <w:jc w:val="center"/>
              <w:rPr>
                <w:color w:val="000000"/>
              </w:rPr>
            </w:pPr>
          </w:p>
        </w:tc>
        <w:tc>
          <w:tcPr>
            <w:tcW w:w="708" w:type="dxa"/>
            <w:shd w:val="clear" w:color="auto" w:fill="auto"/>
            <w:vAlign w:val="center"/>
          </w:tcPr>
          <w:p w14:paraId="491D2769" w14:textId="77777777" w:rsidR="00817793" w:rsidRDefault="00817793">
            <w:pPr>
              <w:spacing w:before="120" w:after="120" w:line="240" w:lineRule="auto"/>
              <w:jc w:val="center"/>
              <w:rPr>
                <w:color w:val="000000"/>
              </w:rPr>
            </w:pPr>
          </w:p>
        </w:tc>
        <w:tc>
          <w:tcPr>
            <w:tcW w:w="851" w:type="dxa"/>
            <w:shd w:val="clear" w:color="auto" w:fill="auto"/>
            <w:vAlign w:val="center"/>
          </w:tcPr>
          <w:p w14:paraId="2FFE886D" w14:textId="77777777" w:rsidR="00817793" w:rsidRDefault="002719FC">
            <w:pPr>
              <w:spacing w:before="120" w:after="120" w:line="240" w:lineRule="auto"/>
              <w:jc w:val="center"/>
              <w:rPr>
                <w:color w:val="000000"/>
              </w:rPr>
            </w:pPr>
            <w:r>
              <w:t>17-18</w:t>
            </w:r>
          </w:p>
        </w:tc>
      </w:tr>
      <w:tr w:rsidR="00817793" w14:paraId="6C970767" w14:textId="77777777">
        <w:trPr>
          <w:trHeight w:val="762"/>
        </w:trPr>
        <w:tc>
          <w:tcPr>
            <w:tcW w:w="2480" w:type="dxa"/>
            <w:shd w:val="clear" w:color="auto" w:fill="auto"/>
            <w:vAlign w:val="center"/>
          </w:tcPr>
          <w:p w14:paraId="543986FD" w14:textId="77777777" w:rsidR="00817793" w:rsidRDefault="002719FC">
            <w:pPr>
              <w:spacing w:before="120" w:after="120" w:line="240" w:lineRule="auto"/>
              <w:jc w:val="left"/>
              <w:rPr>
                <w:color w:val="000000"/>
              </w:rPr>
            </w:pPr>
            <w:r>
              <w:rPr>
                <w:color w:val="000000"/>
              </w:rPr>
              <w:t>Custos associados</w:t>
            </w:r>
          </w:p>
        </w:tc>
        <w:tc>
          <w:tcPr>
            <w:tcW w:w="992" w:type="dxa"/>
            <w:shd w:val="clear" w:color="auto" w:fill="auto"/>
            <w:vAlign w:val="center"/>
          </w:tcPr>
          <w:p w14:paraId="5D0116D1" w14:textId="77777777" w:rsidR="00817793" w:rsidRDefault="002719FC">
            <w:pPr>
              <w:spacing w:before="120" w:after="120" w:line="240" w:lineRule="auto"/>
              <w:jc w:val="center"/>
              <w:rPr>
                <w:color w:val="000000"/>
              </w:rPr>
            </w:pPr>
            <w:r>
              <w:rPr>
                <w:color w:val="000000"/>
              </w:rPr>
              <w:t>13</w:t>
            </w:r>
          </w:p>
        </w:tc>
        <w:tc>
          <w:tcPr>
            <w:tcW w:w="5670" w:type="dxa"/>
            <w:shd w:val="clear" w:color="auto" w:fill="auto"/>
            <w:vAlign w:val="center"/>
          </w:tcPr>
          <w:p w14:paraId="529D27CA" w14:textId="77777777" w:rsidR="00817793" w:rsidRDefault="002719FC">
            <w:pPr>
              <w:spacing w:before="120" w:after="120" w:line="240" w:lineRule="auto"/>
              <w:jc w:val="left"/>
              <w:rPr>
                <w:color w:val="000000"/>
              </w:rPr>
            </w:pPr>
            <w:r>
              <w:rPr>
                <w:color w:val="000000"/>
              </w:rPr>
              <w:t>Os componentes e as fontes dos custos associados (se houver) são adequados e apresentados de forma clara.</w:t>
            </w:r>
          </w:p>
        </w:tc>
        <w:tc>
          <w:tcPr>
            <w:tcW w:w="993" w:type="dxa"/>
            <w:shd w:val="clear" w:color="auto" w:fill="auto"/>
            <w:vAlign w:val="center"/>
          </w:tcPr>
          <w:p w14:paraId="6F5CD9ED" w14:textId="77777777" w:rsidR="00817793" w:rsidRDefault="00817793">
            <w:pPr>
              <w:spacing w:before="120" w:after="120" w:line="240" w:lineRule="auto"/>
              <w:jc w:val="center"/>
              <w:rPr>
                <w:color w:val="000000"/>
              </w:rPr>
            </w:pPr>
          </w:p>
        </w:tc>
        <w:tc>
          <w:tcPr>
            <w:tcW w:w="850" w:type="dxa"/>
            <w:shd w:val="clear" w:color="auto" w:fill="auto"/>
            <w:vAlign w:val="center"/>
          </w:tcPr>
          <w:p w14:paraId="4EF7FBD7" w14:textId="77777777" w:rsidR="00817793" w:rsidRDefault="00817793">
            <w:pPr>
              <w:spacing w:before="120" w:after="120" w:line="240" w:lineRule="auto"/>
              <w:jc w:val="center"/>
              <w:rPr>
                <w:color w:val="000000"/>
              </w:rPr>
            </w:pPr>
          </w:p>
        </w:tc>
        <w:tc>
          <w:tcPr>
            <w:tcW w:w="851" w:type="dxa"/>
            <w:shd w:val="clear" w:color="auto" w:fill="auto"/>
            <w:vAlign w:val="center"/>
          </w:tcPr>
          <w:p w14:paraId="23C080D3"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740C982E" w14:textId="77777777" w:rsidR="00817793" w:rsidRDefault="00817793">
            <w:pPr>
              <w:spacing w:before="120" w:after="120" w:line="240" w:lineRule="auto"/>
              <w:jc w:val="center"/>
              <w:rPr>
                <w:color w:val="000000"/>
              </w:rPr>
            </w:pPr>
          </w:p>
        </w:tc>
        <w:tc>
          <w:tcPr>
            <w:tcW w:w="851" w:type="dxa"/>
            <w:shd w:val="clear" w:color="auto" w:fill="auto"/>
            <w:vAlign w:val="center"/>
          </w:tcPr>
          <w:p w14:paraId="6F0FB145" w14:textId="77777777" w:rsidR="00817793" w:rsidRDefault="002719FC">
            <w:pPr>
              <w:spacing w:before="120" w:after="120" w:line="240" w:lineRule="auto"/>
              <w:jc w:val="center"/>
              <w:rPr>
                <w:color w:val="000000"/>
              </w:rPr>
            </w:pPr>
            <w:r>
              <w:t>18-21</w:t>
            </w:r>
          </w:p>
        </w:tc>
      </w:tr>
    </w:tbl>
    <w:p w14:paraId="15C78039" w14:textId="77777777" w:rsidR="00817793" w:rsidRDefault="002719FC">
      <w:pPr>
        <w:tabs>
          <w:tab w:val="left" w:pos="2764"/>
          <w:tab w:val="left" w:pos="3898"/>
          <w:tab w:val="left" w:pos="10843"/>
          <w:tab w:val="left" w:pos="11543"/>
          <w:tab w:val="left" w:pos="12243"/>
          <w:tab w:val="left" w:pos="12996"/>
          <w:tab w:val="left" w:pos="13696"/>
        </w:tabs>
        <w:spacing w:before="120" w:after="120" w:line="240" w:lineRule="auto"/>
        <w:ind w:left="75"/>
        <w:jc w:val="left"/>
        <w:rPr>
          <w:color w:val="000000"/>
        </w:rPr>
      </w:pPr>
      <w:r>
        <w:br w:type="page"/>
      </w:r>
    </w:p>
    <w:tbl>
      <w:tblPr>
        <w:tblStyle w:val="affff0"/>
        <w:tblW w:w="1339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992"/>
        <w:gridCol w:w="5670"/>
        <w:gridCol w:w="993"/>
        <w:gridCol w:w="850"/>
        <w:gridCol w:w="851"/>
        <w:gridCol w:w="708"/>
        <w:gridCol w:w="851"/>
      </w:tblGrid>
      <w:tr w:rsidR="00817793" w14:paraId="1DA45159" w14:textId="77777777">
        <w:trPr>
          <w:trHeight w:val="762"/>
        </w:trPr>
        <w:tc>
          <w:tcPr>
            <w:tcW w:w="248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DF02651" w14:textId="77777777" w:rsidR="00817793" w:rsidRDefault="002719FC">
            <w:pPr>
              <w:spacing w:before="120" w:after="120" w:line="240" w:lineRule="auto"/>
              <w:jc w:val="center"/>
              <w:rPr>
                <w:b/>
              </w:rPr>
            </w:pPr>
            <w:r>
              <w:rPr>
                <w:b/>
              </w:rPr>
              <w:lastRenderedPageBreak/>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59BBFE77" w14:textId="77777777" w:rsidR="00817793" w:rsidRDefault="002719FC">
            <w:pPr>
              <w:spacing w:before="120" w:after="120" w:line="240" w:lineRule="auto"/>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2EC8509A" w14:textId="77777777" w:rsidR="00817793" w:rsidRDefault="002719FC">
            <w:pPr>
              <w:spacing w:before="120" w:after="120" w:line="240" w:lineRule="auto"/>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03DF1262" w14:textId="77777777" w:rsidR="00817793" w:rsidRDefault="002719FC">
            <w:pPr>
              <w:spacing w:before="120" w:after="120" w:line="240" w:lineRule="auto"/>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18D28718" w14:textId="77777777" w:rsidR="00817793" w:rsidRDefault="002719FC">
            <w:pPr>
              <w:spacing w:before="120" w:after="120" w:line="240" w:lineRule="auto"/>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0C0C01AD" w14:textId="77777777" w:rsidR="00817793" w:rsidRDefault="002719FC">
            <w:pPr>
              <w:spacing w:before="120" w:after="120" w:line="240" w:lineRule="auto"/>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12995319" w14:textId="77777777" w:rsidR="00817793" w:rsidRDefault="002719FC">
            <w:pPr>
              <w:spacing w:before="120" w:after="120" w:line="240" w:lineRule="auto"/>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76B769A7" w14:textId="77777777" w:rsidR="00817793" w:rsidRDefault="002719FC">
            <w:pPr>
              <w:spacing w:before="120" w:after="120" w:line="240" w:lineRule="auto"/>
              <w:jc w:val="center"/>
              <w:rPr>
                <w:b/>
              </w:rPr>
            </w:pPr>
            <w:proofErr w:type="spellStart"/>
            <w:r>
              <w:rPr>
                <w:b/>
              </w:rPr>
              <w:t>Pág.nº</w:t>
            </w:r>
            <w:proofErr w:type="spellEnd"/>
          </w:p>
        </w:tc>
      </w:tr>
      <w:tr w:rsidR="00817793" w14:paraId="2D034D35" w14:textId="77777777">
        <w:trPr>
          <w:trHeight w:val="525"/>
        </w:trPr>
        <w:tc>
          <w:tcPr>
            <w:tcW w:w="13395" w:type="dxa"/>
            <w:gridSpan w:val="8"/>
            <w:shd w:val="clear" w:color="auto" w:fill="D9E1F2"/>
            <w:vAlign w:val="center"/>
          </w:tcPr>
          <w:p w14:paraId="59679860" w14:textId="77777777" w:rsidR="00817793" w:rsidRDefault="002719FC">
            <w:pPr>
              <w:spacing w:before="120" w:after="120" w:line="240" w:lineRule="auto"/>
              <w:jc w:val="left"/>
              <w:rPr>
                <w:b/>
              </w:rPr>
            </w:pPr>
            <w:r>
              <w:rPr>
                <w:b/>
              </w:rPr>
              <w:t>Custos (cont.)</w:t>
            </w:r>
          </w:p>
        </w:tc>
      </w:tr>
      <w:tr w:rsidR="00817793" w14:paraId="7FC8DC0E" w14:textId="77777777">
        <w:trPr>
          <w:trHeight w:val="762"/>
        </w:trPr>
        <w:tc>
          <w:tcPr>
            <w:tcW w:w="2480" w:type="dxa"/>
            <w:shd w:val="clear" w:color="auto" w:fill="auto"/>
            <w:vAlign w:val="center"/>
          </w:tcPr>
          <w:p w14:paraId="6172FB5C" w14:textId="77777777" w:rsidR="00817793" w:rsidRDefault="002719FC">
            <w:pPr>
              <w:spacing w:before="120" w:after="120" w:line="240" w:lineRule="auto"/>
              <w:jc w:val="left"/>
              <w:rPr>
                <w:color w:val="000000"/>
              </w:rPr>
            </w:pPr>
            <w:r>
              <w:rPr>
                <w:color w:val="000000"/>
              </w:rPr>
              <w:t>Custos não incluídos</w:t>
            </w:r>
          </w:p>
        </w:tc>
        <w:tc>
          <w:tcPr>
            <w:tcW w:w="992" w:type="dxa"/>
            <w:shd w:val="clear" w:color="auto" w:fill="auto"/>
            <w:vAlign w:val="center"/>
          </w:tcPr>
          <w:p w14:paraId="0F953182" w14:textId="77777777" w:rsidR="00817793" w:rsidRDefault="002719FC">
            <w:pPr>
              <w:spacing w:before="120" w:after="120" w:line="240" w:lineRule="auto"/>
              <w:jc w:val="center"/>
              <w:rPr>
                <w:color w:val="000000"/>
              </w:rPr>
            </w:pPr>
            <w:r>
              <w:rPr>
                <w:color w:val="000000"/>
              </w:rPr>
              <w:t>14</w:t>
            </w:r>
          </w:p>
        </w:tc>
        <w:tc>
          <w:tcPr>
            <w:tcW w:w="5670" w:type="dxa"/>
            <w:shd w:val="clear" w:color="auto" w:fill="auto"/>
            <w:vAlign w:val="center"/>
          </w:tcPr>
          <w:p w14:paraId="534E7C45" w14:textId="77777777" w:rsidR="00817793" w:rsidRDefault="002719FC">
            <w:pPr>
              <w:spacing w:before="120" w:after="120" w:line="240" w:lineRule="auto"/>
              <w:jc w:val="left"/>
              <w:rPr>
                <w:color w:val="000000"/>
              </w:rPr>
            </w:pPr>
            <w:r>
              <w:rPr>
                <w:color w:val="000000"/>
              </w:rPr>
              <w:t>Os custos não incluídos são apresentados de forma clara e a justificativa para a não inclusão é adequada.</w:t>
            </w:r>
          </w:p>
        </w:tc>
        <w:tc>
          <w:tcPr>
            <w:tcW w:w="993" w:type="dxa"/>
            <w:shd w:val="clear" w:color="auto" w:fill="auto"/>
            <w:vAlign w:val="center"/>
          </w:tcPr>
          <w:p w14:paraId="527D639D" w14:textId="77777777" w:rsidR="00817793" w:rsidRDefault="00817793">
            <w:pPr>
              <w:spacing w:before="120" w:after="120" w:line="240" w:lineRule="auto"/>
              <w:jc w:val="center"/>
              <w:rPr>
                <w:color w:val="000000"/>
              </w:rPr>
            </w:pPr>
          </w:p>
        </w:tc>
        <w:tc>
          <w:tcPr>
            <w:tcW w:w="850" w:type="dxa"/>
            <w:shd w:val="clear" w:color="auto" w:fill="auto"/>
            <w:vAlign w:val="center"/>
          </w:tcPr>
          <w:p w14:paraId="5101B52C" w14:textId="77777777" w:rsidR="00817793" w:rsidRDefault="00817793">
            <w:pPr>
              <w:spacing w:before="120" w:after="120" w:line="240" w:lineRule="auto"/>
              <w:jc w:val="center"/>
              <w:rPr>
                <w:color w:val="000000"/>
              </w:rPr>
            </w:pPr>
          </w:p>
        </w:tc>
        <w:tc>
          <w:tcPr>
            <w:tcW w:w="851" w:type="dxa"/>
            <w:shd w:val="clear" w:color="auto" w:fill="auto"/>
            <w:vAlign w:val="center"/>
          </w:tcPr>
          <w:p w14:paraId="3C8EC45C" w14:textId="77777777" w:rsidR="00817793" w:rsidRDefault="00817793">
            <w:pPr>
              <w:spacing w:before="120" w:after="120" w:line="240" w:lineRule="auto"/>
              <w:jc w:val="center"/>
              <w:rPr>
                <w:color w:val="000000"/>
              </w:rPr>
            </w:pPr>
          </w:p>
        </w:tc>
        <w:tc>
          <w:tcPr>
            <w:tcW w:w="708" w:type="dxa"/>
            <w:shd w:val="clear" w:color="auto" w:fill="auto"/>
            <w:vAlign w:val="center"/>
          </w:tcPr>
          <w:p w14:paraId="3BEBF704"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326DC100" w14:textId="77777777" w:rsidR="00817793" w:rsidRDefault="00817793">
            <w:pPr>
              <w:spacing w:before="120" w:after="120" w:line="240" w:lineRule="auto"/>
              <w:jc w:val="center"/>
              <w:rPr>
                <w:color w:val="000000"/>
              </w:rPr>
            </w:pPr>
          </w:p>
        </w:tc>
      </w:tr>
      <w:tr w:rsidR="00817793" w14:paraId="0F68B912" w14:textId="77777777">
        <w:trPr>
          <w:trHeight w:val="762"/>
        </w:trPr>
        <w:tc>
          <w:tcPr>
            <w:tcW w:w="2480" w:type="dxa"/>
            <w:shd w:val="clear" w:color="auto" w:fill="auto"/>
            <w:vAlign w:val="center"/>
          </w:tcPr>
          <w:p w14:paraId="1EB1E908" w14:textId="77777777" w:rsidR="00817793" w:rsidRDefault="002719FC">
            <w:pPr>
              <w:spacing w:before="120" w:after="120" w:line="240" w:lineRule="auto"/>
              <w:jc w:val="left"/>
              <w:rPr>
                <w:color w:val="000000"/>
              </w:rPr>
            </w:pPr>
            <w:r>
              <w:rPr>
                <w:color w:val="000000"/>
              </w:rPr>
              <w:t>Moeda, data e taxa de conversão cambial (se aplicável)</w:t>
            </w:r>
          </w:p>
        </w:tc>
        <w:tc>
          <w:tcPr>
            <w:tcW w:w="992" w:type="dxa"/>
            <w:shd w:val="clear" w:color="auto" w:fill="auto"/>
            <w:vAlign w:val="center"/>
          </w:tcPr>
          <w:p w14:paraId="33CFEC6B" w14:textId="77777777" w:rsidR="00817793" w:rsidRDefault="002719FC">
            <w:pPr>
              <w:spacing w:before="120" w:after="120" w:line="240" w:lineRule="auto"/>
              <w:jc w:val="center"/>
              <w:rPr>
                <w:color w:val="000000"/>
              </w:rPr>
            </w:pPr>
            <w:r>
              <w:rPr>
                <w:color w:val="000000"/>
              </w:rPr>
              <w:t>15</w:t>
            </w:r>
          </w:p>
        </w:tc>
        <w:tc>
          <w:tcPr>
            <w:tcW w:w="5670" w:type="dxa"/>
            <w:shd w:val="clear" w:color="auto" w:fill="auto"/>
            <w:vAlign w:val="center"/>
          </w:tcPr>
          <w:p w14:paraId="7FE2FDD2" w14:textId="77777777" w:rsidR="00817793" w:rsidRDefault="002719FC">
            <w:pPr>
              <w:spacing w:before="120" w:after="120" w:line="240" w:lineRule="auto"/>
              <w:jc w:val="left"/>
              <w:rPr>
                <w:color w:val="000000"/>
              </w:rPr>
            </w:pPr>
            <w:r>
              <w:rPr>
                <w:color w:val="000000"/>
              </w:rPr>
              <w:t>O uso de valores financeiros internacionais é acompanhado de informação quanto à data e à taxa da conversão de moedas.</w:t>
            </w:r>
          </w:p>
        </w:tc>
        <w:tc>
          <w:tcPr>
            <w:tcW w:w="993" w:type="dxa"/>
            <w:shd w:val="clear" w:color="auto" w:fill="auto"/>
            <w:vAlign w:val="center"/>
          </w:tcPr>
          <w:p w14:paraId="0A821549" w14:textId="77777777" w:rsidR="00817793" w:rsidRDefault="00817793">
            <w:pPr>
              <w:spacing w:before="120" w:after="120" w:line="240" w:lineRule="auto"/>
              <w:jc w:val="center"/>
              <w:rPr>
                <w:color w:val="000000"/>
              </w:rPr>
            </w:pPr>
          </w:p>
        </w:tc>
        <w:tc>
          <w:tcPr>
            <w:tcW w:w="850" w:type="dxa"/>
            <w:shd w:val="clear" w:color="auto" w:fill="auto"/>
            <w:vAlign w:val="center"/>
          </w:tcPr>
          <w:p w14:paraId="66FDCF4E" w14:textId="77777777" w:rsidR="00817793" w:rsidRDefault="00817793">
            <w:pPr>
              <w:spacing w:before="120" w:after="120" w:line="240" w:lineRule="auto"/>
              <w:jc w:val="center"/>
              <w:rPr>
                <w:color w:val="000000"/>
              </w:rPr>
            </w:pPr>
          </w:p>
        </w:tc>
        <w:tc>
          <w:tcPr>
            <w:tcW w:w="851" w:type="dxa"/>
            <w:shd w:val="clear" w:color="auto" w:fill="auto"/>
            <w:vAlign w:val="center"/>
          </w:tcPr>
          <w:p w14:paraId="3BEE236D" w14:textId="77777777" w:rsidR="00817793" w:rsidRDefault="00817793">
            <w:pPr>
              <w:spacing w:before="120" w:after="120" w:line="240" w:lineRule="auto"/>
              <w:jc w:val="center"/>
              <w:rPr>
                <w:color w:val="000000"/>
              </w:rPr>
            </w:pPr>
          </w:p>
        </w:tc>
        <w:tc>
          <w:tcPr>
            <w:tcW w:w="708" w:type="dxa"/>
            <w:shd w:val="clear" w:color="auto" w:fill="auto"/>
            <w:vAlign w:val="center"/>
          </w:tcPr>
          <w:p w14:paraId="58D8EA44"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0CCC0888" w14:textId="77777777" w:rsidR="00817793" w:rsidRDefault="00817793">
            <w:pPr>
              <w:spacing w:before="120" w:after="120" w:line="240" w:lineRule="auto"/>
              <w:jc w:val="center"/>
              <w:rPr>
                <w:color w:val="000000"/>
              </w:rPr>
            </w:pPr>
          </w:p>
        </w:tc>
      </w:tr>
      <w:tr w:rsidR="00817793" w14:paraId="31F4EBA9" w14:textId="77777777">
        <w:trPr>
          <w:trHeight w:val="525"/>
        </w:trPr>
        <w:tc>
          <w:tcPr>
            <w:tcW w:w="13395" w:type="dxa"/>
            <w:gridSpan w:val="8"/>
            <w:shd w:val="clear" w:color="auto" w:fill="D9E1F2"/>
            <w:vAlign w:val="center"/>
          </w:tcPr>
          <w:p w14:paraId="2AC3E30E" w14:textId="77777777" w:rsidR="00817793" w:rsidRDefault="002719FC">
            <w:pPr>
              <w:spacing w:before="120" w:after="120" w:line="240" w:lineRule="auto"/>
              <w:jc w:val="left"/>
              <w:rPr>
                <w:b/>
              </w:rPr>
            </w:pPr>
            <w:r>
              <w:rPr>
                <w:b/>
              </w:rPr>
              <w:t>Modelagem</w:t>
            </w:r>
          </w:p>
        </w:tc>
      </w:tr>
      <w:tr w:rsidR="00817793" w14:paraId="448F3E07" w14:textId="77777777">
        <w:trPr>
          <w:trHeight w:val="762"/>
        </w:trPr>
        <w:tc>
          <w:tcPr>
            <w:tcW w:w="2480" w:type="dxa"/>
            <w:shd w:val="clear" w:color="auto" w:fill="auto"/>
            <w:vAlign w:val="center"/>
          </w:tcPr>
          <w:p w14:paraId="02555DF6" w14:textId="77777777" w:rsidR="00817793" w:rsidRDefault="002719FC">
            <w:pPr>
              <w:spacing w:before="120" w:after="120" w:line="240" w:lineRule="auto"/>
              <w:jc w:val="left"/>
              <w:rPr>
                <w:color w:val="000000"/>
              </w:rPr>
            </w:pPr>
            <w:r>
              <w:rPr>
                <w:color w:val="000000"/>
              </w:rPr>
              <w:t>Pressupostos</w:t>
            </w:r>
          </w:p>
        </w:tc>
        <w:tc>
          <w:tcPr>
            <w:tcW w:w="992" w:type="dxa"/>
            <w:shd w:val="clear" w:color="auto" w:fill="auto"/>
            <w:vAlign w:val="center"/>
          </w:tcPr>
          <w:p w14:paraId="0EB5E791" w14:textId="77777777" w:rsidR="00817793" w:rsidRDefault="002719FC">
            <w:pPr>
              <w:spacing w:before="120" w:after="120" w:line="240" w:lineRule="auto"/>
              <w:jc w:val="center"/>
              <w:rPr>
                <w:color w:val="000000"/>
              </w:rPr>
            </w:pPr>
            <w:r>
              <w:rPr>
                <w:color w:val="000000"/>
              </w:rPr>
              <w:t>16</w:t>
            </w:r>
          </w:p>
        </w:tc>
        <w:tc>
          <w:tcPr>
            <w:tcW w:w="5670" w:type="dxa"/>
            <w:shd w:val="clear" w:color="auto" w:fill="auto"/>
            <w:vAlign w:val="center"/>
          </w:tcPr>
          <w:p w14:paraId="326F0D40" w14:textId="77777777" w:rsidR="00817793" w:rsidRDefault="002719FC">
            <w:pPr>
              <w:spacing w:before="120" w:after="120" w:line="240" w:lineRule="auto"/>
              <w:jc w:val="left"/>
              <w:rPr>
                <w:color w:val="000000"/>
              </w:rPr>
            </w:pPr>
            <w:r>
              <w:rPr>
                <w:color w:val="000000"/>
              </w:rPr>
              <w:t>Os pressupostos adotados no modelo são adequados e apresentados de forma clara.</w:t>
            </w:r>
          </w:p>
        </w:tc>
        <w:tc>
          <w:tcPr>
            <w:tcW w:w="993" w:type="dxa"/>
            <w:shd w:val="clear" w:color="auto" w:fill="auto"/>
            <w:vAlign w:val="center"/>
          </w:tcPr>
          <w:p w14:paraId="4A990D24" w14:textId="77777777" w:rsidR="00817793" w:rsidRDefault="00817793">
            <w:pPr>
              <w:spacing w:before="120" w:after="120" w:line="240" w:lineRule="auto"/>
              <w:jc w:val="center"/>
              <w:rPr>
                <w:color w:val="000000"/>
              </w:rPr>
            </w:pPr>
          </w:p>
        </w:tc>
        <w:tc>
          <w:tcPr>
            <w:tcW w:w="850" w:type="dxa"/>
            <w:shd w:val="clear" w:color="auto" w:fill="auto"/>
            <w:vAlign w:val="center"/>
          </w:tcPr>
          <w:p w14:paraId="603CC4DB" w14:textId="77777777" w:rsidR="00817793" w:rsidRDefault="00817793">
            <w:pPr>
              <w:spacing w:before="120" w:after="120" w:line="240" w:lineRule="auto"/>
              <w:jc w:val="center"/>
              <w:rPr>
                <w:color w:val="000000"/>
              </w:rPr>
            </w:pPr>
          </w:p>
        </w:tc>
        <w:tc>
          <w:tcPr>
            <w:tcW w:w="851" w:type="dxa"/>
            <w:shd w:val="clear" w:color="auto" w:fill="auto"/>
            <w:vAlign w:val="center"/>
          </w:tcPr>
          <w:p w14:paraId="2428A9B7"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5BAD3425" w14:textId="77777777" w:rsidR="00817793" w:rsidRDefault="00817793">
            <w:pPr>
              <w:spacing w:before="120" w:after="120" w:line="240" w:lineRule="auto"/>
              <w:jc w:val="center"/>
              <w:rPr>
                <w:color w:val="000000"/>
              </w:rPr>
            </w:pPr>
          </w:p>
        </w:tc>
        <w:tc>
          <w:tcPr>
            <w:tcW w:w="851" w:type="dxa"/>
            <w:shd w:val="clear" w:color="auto" w:fill="auto"/>
            <w:vAlign w:val="center"/>
          </w:tcPr>
          <w:p w14:paraId="735DA4F4" w14:textId="77777777" w:rsidR="00817793" w:rsidRDefault="002719FC">
            <w:pPr>
              <w:spacing w:before="120" w:after="120" w:line="240" w:lineRule="auto"/>
              <w:jc w:val="center"/>
              <w:rPr>
                <w:color w:val="000000"/>
              </w:rPr>
            </w:pPr>
            <w:r>
              <w:t>11</w:t>
            </w:r>
          </w:p>
        </w:tc>
      </w:tr>
      <w:tr w:rsidR="00817793" w14:paraId="0D14CB03" w14:textId="77777777">
        <w:trPr>
          <w:trHeight w:val="762"/>
        </w:trPr>
        <w:tc>
          <w:tcPr>
            <w:tcW w:w="2480" w:type="dxa"/>
            <w:shd w:val="clear" w:color="auto" w:fill="auto"/>
            <w:vAlign w:val="center"/>
          </w:tcPr>
          <w:p w14:paraId="73607B42" w14:textId="77777777" w:rsidR="00817793" w:rsidRDefault="002719FC">
            <w:pPr>
              <w:spacing w:before="120" w:after="120" w:line="240" w:lineRule="auto"/>
              <w:jc w:val="left"/>
              <w:rPr>
                <w:color w:val="000000"/>
              </w:rPr>
            </w:pPr>
            <w:r>
              <w:rPr>
                <w:color w:val="000000"/>
              </w:rPr>
              <w:t>Método de modelagem</w:t>
            </w:r>
          </w:p>
        </w:tc>
        <w:tc>
          <w:tcPr>
            <w:tcW w:w="992" w:type="dxa"/>
            <w:shd w:val="clear" w:color="auto" w:fill="auto"/>
            <w:vAlign w:val="center"/>
          </w:tcPr>
          <w:p w14:paraId="5DA96121" w14:textId="77777777" w:rsidR="00817793" w:rsidRDefault="002719FC">
            <w:pPr>
              <w:spacing w:before="120" w:after="120" w:line="240" w:lineRule="auto"/>
              <w:jc w:val="center"/>
              <w:rPr>
                <w:color w:val="000000"/>
              </w:rPr>
            </w:pPr>
            <w:r>
              <w:rPr>
                <w:color w:val="000000"/>
              </w:rPr>
              <w:t>17</w:t>
            </w:r>
          </w:p>
        </w:tc>
        <w:tc>
          <w:tcPr>
            <w:tcW w:w="5670" w:type="dxa"/>
            <w:shd w:val="clear" w:color="auto" w:fill="auto"/>
            <w:vAlign w:val="center"/>
          </w:tcPr>
          <w:p w14:paraId="649E22B0" w14:textId="77777777" w:rsidR="00817793" w:rsidRDefault="002719FC">
            <w:pPr>
              <w:spacing w:before="120" w:after="120" w:line="240" w:lineRule="auto"/>
              <w:jc w:val="left"/>
              <w:rPr>
                <w:color w:val="000000"/>
              </w:rPr>
            </w:pPr>
            <w:r>
              <w:rPr>
                <w:color w:val="000000"/>
              </w:rPr>
              <w:t>O modelo adotado é apresentado de forma clara e a justificativa para sua utilização é adequada, incluindo figura da estrutura do modelo e as informações sobre todos os parâmetros relevantes (valores, intervalos, distribuições de probabilidades, estados de saúde etc.).</w:t>
            </w:r>
          </w:p>
        </w:tc>
        <w:tc>
          <w:tcPr>
            <w:tcW w:w="993" w:type="dxa"/>
            <w:shd w:val="clear" w:color="auto" w:fill="auto"/>
            <w:vAlign w:val="center"/>
          </w:tcPr>
          <w:p w14:paraId="0C7D08AC" w14:textId="77777777" w:rsidR="00817793" w:rsidRDefault="00817793">
            <w:pPr>
              <w:spacing w:before="120" w:after="120" w:line="240" w:lineRule="auto"/>
              <w:jc w:val="center"/>
              <w:rPr>
                <w:color w:val="000000"/>
              </w:rPr>
            </w:pPr>
          </w:p>
        </w:tc>
        <w:tc>
          <w:tcPr>
            <w:tcW w:w="850" w:type="dxa"/>
            <w:shd w:val="clear" w:color="auto" w:fill="auto"/>
            <w:vAlign w:val="center"/>
          </w:tcPr>
          <w:p w14:paraId="37A31054" w14:textId="77777777" w:rsidR="00817793" w:rsidRDefault="00817793">
            <w:pPr>
              <w:spacing w:before="120" w:after="120" w:line="240" w:lineRule="auto"/>
              <w:jc w:val="center"/>
              <w:rPr>
                <w:color w:val="000000"/>
              </w:rPr>
            </w:pPr>
          </w:p>
        </w:tc>
        <w:tc>
          <w:tcPr>
            <w:tcW w:w="851" w:type="dxa"/>
            <w:shd w:val="clear" w:color="auto" w:fill="auto"/>
            <w:vAlign w:val="center"/>
          </w:tcPr>
          <w:p w14:paraId="460A7E2B"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7DC8C081" w14:textId="77777777" w:rsidR="00817793" w:rsidRDefault="00817793">
            <w:pPr>
              <w:spacing w:before="120" w:after="120" w:line="240" w:lineRule="auto"/>
              <w:jc w:val="center"/>
              <w:rPr>
                <w:color w:val="000000"/>
              </w:rPr>
            </w:pPr>
          </w:p>
        </w:tc>
        <w:tc>
          <w:tcPr>
            <w:tcW w:w="851" w:type="dxa"/>
            <w:shd w:val="clear" w:color="auto" w:fill="auto"/>
            <w:vAlign w:val="center"/>
          </w:tcPr>
          <w:p w14:paraId="3F3C90C3" w14:textId="77777777" w:rsidR="00817793" w:rsidRDefault="002719FC">
            <w:pPr>
              <w:spacing w:before="120" w:after="120" w:line="240" w:lineRule="auto"/>
              <w:jc w:val="center"/>
              <w:rPr>
                <w:color w:val="000000"/>
              </w:rPr>
            </w:pPr>
            <w:r>
              <w:t>10-11</w:t>
            </w:r>
          </w:p>
        </w:tc>
      </w:tr>
      <w:tr w:rsidR="00817793" w14:paraId="6B0FFAB2" w14:textId="77777777">
        <w:trPr>
          <w:trHeight w:val="762"/>
        </w:trPr>
        <w:tc>
          <w:tcPr>
            <w:tcW w:w="2480" w:type="dxa"/>
            <w:shd w:val="clear" w:color="auto" w:fill="auto"/>
            <w:vAlign w:val="center"/>
          </w:tcPr>
          <w:p w14:paraId="2CB6307B" w14:textId="77777777" w:rsidR="00817793" w:rsidRDefault="002719FC">
            <w:pPr>
              <w:spacing w:before="120" w:after="120" w:line="240" w:lineRule="auto"/>
              <w:jc w:val="left"/>
              <w:rPr>
                <w:color w:val="000000"/>
              </w:rPr>
            </w:pPr>
            <w:r>
              <w:rPr>
                <w:color w:val="000000"/>
              </w:rPr>
              <w:t>Métodos analíticos de apoio</w:t>
            </w:r>
          </w:p>
        </w:tc>
        <w:tc>
          <w:tcPr>
            <w:tcW w:w="992" w:type="dxa"/>
            <w:shd w:val="clear" w:color="auto" w:fill="auto"/>
            <w:vAlign w:val="center"/>
          </w:tcPr>
          <w:p w14:paraId="526D80A2" w14:textId="77777777" w:rsidR="00817793" w:rsidRDefault="002719FC">
            <w:pPr>
              <w:spacing w:before="120" w:after="120" w:line="240" w:lineRule="auto"/>
              <w:jc w:val="center"/>
              <w:rPr>
                <w:color w:val="000000"/>
              </w:rPr>
            </w:pPr>
            <w:r>
              <w:rPr>
                <w:color w:val="000000"/>
              </w:rPr>
              <w:t>18</w:t>
            </w:r>
          </w:p>
        </w:tc>
        <w:tc>
          <w:tcPr>
            <w:tcW w:w="5670" w:type="dxa"/>
            <w:shd w:val="clear" w:color="auto" w:fill="auto"/>
            <w:vAlign w:val="center"/>
          </w:tcPr>
          <w:p w14:paraId="60EE4CB8" w14:textId="77777777" w:rsidR="00817793" w:rsidRDefault="002719FC">
            <w:pPr>
              <w:spacing w:before="120" w:after="120" w:line="240" w:lineRule="auto"/>
              <w:jc w:val="left"/>
              <w:rPr>
                <w:color w:val="000000"/>
              </w:rPr>
            </w:pPr>
            <w:r>
              <w:rPr>
                <w:color w:val="000000"/>
              </w:rPr>
              <w:t>Os métodos analíticos adicionais, tais como técnicas para lidar com dados faltantes, correção de meio ciclo, ajustes para heterogeneidade nas estimativas, são adequados e apresentados de forma clara.</w:t>
            </w:r>
          </w:p>
        </w:tc>
        <w:tc>
          <w:tcPr>
            <w:tcW w:w="993" w:type="dxa"/>
            <w:shd w:val="clear" w:color="auto" w:fill="auto"/>
            <w:vAlign w:val="center"/>
          </w:tcPr>
          <w:p w14:paraId="0477E574" w14:textId="77777777" w:rsidR="00817793" w:rsidRDefault="00817793">
            <w:pPr>
              <w:spacing w:before="120" w:after="120" w:line="240" w:lineRule="auto"/>
              <w:jc w:val="center"/>
              <w:rPr>
                <w:color w:val="000000"/>
              </w:rPr>
            </w:pPr>
          </w:p>
        </w:tc>
        <w:tc>
          <w:tcPr>
            <w:tcW w:w="850" w:type="dxa"/>
            <w:shd w:val="clear" w:color="auto" w:fill="auto"/>
            <w:vAlign w:val="center"/>
          </w:tcPr>
          <w:p w14:paraId="6E7CACC6"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3FD9042A" w14:textId="77777777" w:rsidR="00817793" w:rsidRDefault="00817793">
            <w:pPr>
              <w:spacing w:before="120" w:after="120" w:line="240" w:lineRule="auto"/>
              <w:jc w:val="center"/>
              <w:rPr>
                <w:color w:val="000000"/>
              </w:rPr>
            </w:pPr>
          </w:p>
        </w:tc>
        <w:tc>
          <w:tcPr>
            <w:tcW w:w="708" w:type="dxa"/>
            <w:shd w:val="clear" w:color="auto" w:fill="auto"/>
            <w:vAlign w:val="center"/>
          </w:tcPr>
          <w:p w14:paraId="052D4810" w14:textId="77777777" w:rsidR="00817793" w:rsidRDefault="00817793">
            <w:pPr>
              <w:spacing w:before="120" w:after="120" w:line="240" w:lineRule="auto"/>
              <w:jc w:val="center"/>
              <w:rPr>
                <w:color w:val="000000"/>
              </w:rPr>
            </w:pPr>
          </w:p>
        </w:tc>
        <w:tc>
          <w:tcPr>
            <w:tcW w:w="851" w:type="dxa"/>
            <w:shd w:val="clear" w:color="auto" w:fill="auto"/>
            <w:vAlign w:val="center"/>
          </w:tcPr>
          <w:p w14:paraId="09D9AC6E" w14:textId="77777777" w:rsidR="00817793" w:rsidRDefault="002719FC">
            <w:pPr>
              <w:spacing w:before="120" w:after="120" w:line="240" w:lineRule="auto"/>
              <w:jc w:val="center"/>
              <w:rPr>
                <w:color w:val="000000"/>
              </w:rPr>
            </w:pPr>
            <w:r>
              <w:t>-</w:t>
            </w:r>
          </w:p>
        </w:tc>
      </w:tr>
    </w:tbl>
    <w:p w14:paraId="62D3F89E" w14:textId="77777777" w:rsidR="00817793" w:rsidRDefault="002719FC">
      <w:pPr>
        <w:spacing w:before="0" w:after="160" w:line="259" w:lineRule="auto"/>
        <w:jc w:val="left"/>
      </w:pPr>
      <w:r>
        <w:br w:type="page"/>
      </w:r>
    </w:p>
    <w:tbl>
      <w:tblPr>
        <w:tblStyle w:val="affff1"/>
        <w:tblW w:w="1339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992"/>
        <w:gridCol w:w="5670"/>
        <w:gridCol w:w="993"/>
        <w:gridCol w:w="850"/>
        <w:gridCol w:w="851"/>
        <w:gridCol w:w="708"/>
        <w:gridCol w:w="851"/>
      </w:tblGrid>
      <w:tr w:rsidR="00817793" w14:paraId="120A0398" w14:textId="77777777">
        <w:trPr>
          <w:trHeight w:val="762"/>
        </w:trPr>
        <w:tc>
          <w:tcPr>
            <w:tcW w:w="248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55A7CE4A" w14:textId="77777777" w:rsidR="00817793" w:rsidRDefault="002719FC">
            <w:pPr>
              <w:spacing w:before="120" w:after="120" w:line="240" w:lineRule="auto"/>
              <w:jc w:val="center"/>
              <w:rPr>
                <w:b/>
              </w:rPr>
            </w:pPr>
            <w:r>
              <w:rPr>
                <w:b/>
              </w:rPr>
              <w:lastRenderedPageBreak/>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7A654F95" w14:textId="77777777" w:rsidR="00817793" w:rsidRDefault="002719FC">
            <w:pPr>
              <w:spacing w:before="120" w:after="120" w:line="240" w:lineRule="auto"/>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4DB4EFF2" w14:textId="77777777" w:rsidR="00817793" w:rsidRDefault="002719FC">
            <w:pPr>
              <w:spacing w:before="120" w:after="120" w:line="240" w:lineRule="auto"/>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5AE31C44" w14:textId="77777777" w:rsidR="00817793" w:rsidRDefault="002719FC">
            <w:pPr>
              <w:spacing w:before="120" w:after="120" w:line="240" w:lineRule="auto"/>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14FB4768" w14:textId="77777777" w:rsidR="00817793" w:rsidRDefault="002719FC">
            <w:pPr>
              <w:spacing w:before="120" w:after="120" w:line="240" w:lineRule="auto"/>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691266E3" w14:textId="77777777" w:rsidR="00817793" w:rsidRDefault="002719FC">
            <w:pPr>
              <w:spacing w:before="120" w:after="120" w:line="240" w:lineRule="auto"/>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391525AD" w14:textId="77777777" w:rsidR="00817793" w:rsidRDefault="002719FC">
            <w:pPr>
              <w:spacing w:before="120" w:after="120" w:line="240" w:lineRule="auto"/>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56718F66" w14:textId="77777777" w:rsidR="00817793" w:rsidRDefault="002719FC">
            <w:pPr>
              <w:spacing w:before="120" w:after="120" w:line="240" w:lineRule="auto"/>
              <w:jc w:val="center"/>
              <w:rPr>
                <w:b/>
              </w:rPr>
            </w:pPr>
            <w:proofErr w:type="spellStart"/>
            <w:r>
              <w:rPr>
                <w:b/>
              </w:rPr>
              <w:t>Pág.nº</w:t>
            </w:r>
            <w:proofErr w:type="spellEnd"/>
          </w:p>
        </w:tc>
      </w:tr>
      <w:tr w:rsidR="00817793" w14:paraId="1DB07BBB" w14:textId="77777777">
        <w:trPr>
          <w:trHeight w:val="525"/>
        </w:trPr>
        <w:tc>
          <w:tcPr>
            <w:tcW w:w="13395" w:type="dxa"/>
            <w:gridSpan w:val="8"/>
            <w:shd w:val="clear" w:color="auto" w:fill="D9E1F2"/>
            <w:vAlign w:val="center"/>
          </w:tcPr>
          <w:p w14:paraId="02B0C4AF" w14:textId="77777777" w:rsidR="00817793" w:rsidRDefault="002719FC">
            <w:pPr>
              <w:spacing w:before="120" w:after="120" w:line="240" w:lineRule="auto"/>
              <w:jc w:val="left"/>
              <w:rPr>
                <w:b/>
              </w:rPr>
            </w:pPr>
            <w:r>
              <w:rPr>
                <w:b/>
              </w:rPr>
              <w:t>Resultados</w:t>
            </w:r>
          </w:p>
        </w:tc>
      </w:tr>
      <w:tr w:rsidR="00817793" w14:paraId="6E0A7B05" w14:textId="77777777">
        <w:trPr>
          <w:trHeight w:val="762"/>
        </w:trPr>
        <w:tc>
          <w:tcPr>
            <w:tcW w:w="2480" w:type="dxa"/>
            <w:shd w:val="clear" w:color="auto" w:fill="auto"/>
            <w:vAlign w:val="center"/>
          </w:tcPr>
          <w:p w14:paraId="254AD50B" w14:textId="77777777" w:rsidR="00817793" w:rsidRDefault="002719FC">
            <w:pPr>
              <w:spacing w:before="120" w:after="120" w:line="240" w:lineRule="auto"/>
              <w:jc w:val="left"/>
              <w:rPr>
                <w:color w:val="000000"/>
              </w:rPr>
            </w:pPr>
            <w:r>
              <w:rPr>
                <w:color w:val="000000"/>
              </w:rPr>
              <w:t>Estimativa de custos e desfechos incrementais</w:t>
            </w:r>
          </w:p>
        </w:tc>
        <w:tc>
          <w:tcPr>
            <w:tcW w:w="992" w:type="dxa"/>
            <w:shd w:val="clear" w:color="auto" w:fill="auto"/>
            <w:vAlign w:val="center"/>
          </w:tcPr>
          <w:p w14:paraId="2847A633" w14:textId="77777777" w:rsidR="00817793" w:rsidRDefault="002719FC">
            <w:pPr>
              <w:spacing w:before="120" w:after="120" w:line="240" w:lineRule="auto"/>
              <w:jc w:val="center"/>
              <w:rPr>
                <w:color w:val="000000"/>
              </w:rPr>
            </w:pPr>
            <w:r>
              <w:rPr>
                <w:color w:val="000000"/>
              </w:rPr>
              <w:t>19</w:t>
            </w:r>
          </w:p>
        </w:tc>
        <w:tc>
          <w:tcPr>
            <w:tcW w:w="5670" w:type="dxa"/>
            <w:shd w:val="clear" w:color="auto" w:fill="auto"/>
            <w:vAlign w:val="center"/>
          </w:tcPr>
          <w:p w14:paraId="52633B81" w14:textId="77777777" w:rsidR="00817793" w:rsidRDefault="002719FC">
            <w:pPr>
              <w:spacing w:before="120" w:after="120" w:line="240" w:lineRule="auto"/>
              <w:jc w:val="left"/>
              <w:rPr>
                <w:color w:val="000000"/>
              </w:rPr>
            </w:pPr>
            <w:r>
              <w:rPr>
                <w:color w:val="000000"/>
              </w:rPr>
              <w:t>Os valores estimados dos custos e dos desfechos de interesse são adequados e apresentados de forma clara, incluindo as razões de custo-efetividade incrementais.</w:t>
            </w:r>
          </w:p>
        </w:tc>
        <w:tc>
          <w:tcPr>
            <w:tcW w:w="993" w:type="dxa"/>
            <w:shd w:val="clear" w:color="auto" w:fill="auto"/>
            <w:vAlign w:val="center"/>
          </w:tcPr>
          <w:p w14:paraId="2780AF0D" w14:textId="77777777" w:rsidR="00817793" w:rsidRDefault="00817793">
            <w:pPr>
              <w:spacing w:before="120" w:after="120" w:line="240" w:lineRule="auto"/>
              <w:jc w:val="center"/>
              <w:rPr>
                <w:color w:val="000000"/>
              </w:rPr>
            </w:pPr>
          </w:p>
        </w:tc>
        <w:tc>
          <w:tcPr>
            <w:tcW w:w="850" w:type="dxa"/>
            <w:shd w:val="clear" w:color="auto" w:fill="auto"/>
            <w:vAlign w:val="center"/>
          </w:tcPr>
          <w:p w14:paraId="0597486F"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46FC4A0D" w14:textId="77777777" w:rsidR="00817793" w:rsidRDefault="00817793">
            <w:pPr>
              <w:spacing w:before="120" w:after="120" w:line="240" w:lineRule="auto"/>
              <w:jc w:val="center"/>
              <w:rPr>
                <w:color w:val="000000"/>
                <w:sz w:val="20"/>
                <w:szCs w:val="20"/>
              </w:rPr>
            </w:pPr>
          </w:p>
        </w:tc>
        <w:tc>
          <w:tcPr>
            <w:tcW w:w="708" w:type="dxa"/>
            <w:shd w:val="clear" w:color="auto" w:fill="auto"/>
            <w:vAlign w:val="center"/>
          </w:tcPr>
          <w:p w14:paraId="4DC2ECC6" w14:textId="77777777" w:rsidR="00817793" w:rsidRDefault="00817793">
            <w:pPr>
              <w:spacing w:before="120" w:after="120" w:line="240" w:lineRule="auto"/>
              <w:jc w:val="center"/>
              <w:rPr>
                <w:color w:val="000000"/>
              </w:rPr>
            </w:pPr>
          </w:p>
        </w:tc>
        <w:tc>
          <w:tcPr>
            <w:tcW w:w="851" w:type="dxa"/>
            <w:shd w:val="clear" w:color="auto" w:fill="auto"/>
            <w:vAlign w:val="center"/>
          </w:tcPr>
          <w:p w14:paraId="72E4F76D" w14:textId="77777777" w:rsidR="00817793" w:rsidRDefault="002719FC">
            <w:pPr>
              <w:spacing w:before="120" w:after="120" w:line="240" w:lineRule="auto"/>
              <w:jc w:val="center"/>
              <w:rPr>
                <w:color w:val="000000"/>
              </w:rPr>
            </w:pPr>
            <w:r>
              <w:t>23</w:t>
            </w:r>
          </w:p>
        </w:tc>
      </w:tr>
      <w:tr w:rsidR="00817793" w14:paraId="11F2222F" w14:textId="77777777">
        <w:trPr>
          <w:trHeight w:val="799"/>
        </w:trPr>
        <w:tc>
          <w:tcPr>
            <w:tcW w:w="2480" w:type="dxa"/>
            <w:shd w:val="clear" w:color="auto" w:fill="auto"/>
            <w:vAlign w:val="center"/>
          </w:tcPr>
          <w:p w14:paraId="5148EB39" w14:textId="77777777" w:rsidR="00817793" w:rsidRDefault="002719FC">
            <w:pPr>
              <w:spacing w:before="120" w:after="120" w:line="240" w:lineRule="auto"/>
              <w:jc w:val="left"/>
              <w:rPr>
                <w:color w:val="000000"/>
              </w:rPr>
            </w:pPr>
            <w:r>
              <w:rPr>
                <w:color w:val="000000"/>
              </w:rPr>
              <w:t>Análise de sensibilidade</w:t>
            </w:r>
          </w:p>
        </w:tc>
        <w:tc>
          <w:tcPr>
            <w:tcW w:w="992" w:type="dxa"/>
            <w:shd w:val="clear" w:color="auto" w:fill="auto"/>
            <w:vAlign w:val="center"/>
          </w:tcPr>
          <w:p w14:paraId="5007C906" w14:textId="77777777" w:rsidR="00817793" w:rsidRDefault="002719FC">
            <w:pPr>
              <w:spacing w:before="120" w:after="120" w:line="240" w:lineRule="auto"/>
              <w:jc w:val="center"/>
              <w:rPr>
                <w:color w:val="000000"/>
              </w:rPr>
            </w:pPr>
            <w:r>
              <w:rPr>
                <w:color w:val="000000"/>
              </w:rPr>
              <w:t>20</w:t>
            </w:r>
          </w:p>
        </w:tc>
        <w:tc>
          <w:tcPr>
            <w:tcW w:w="5670" w:type="dxa"/>
            <w:shd w:val="clear" w:color="auto" w:fill="auto"/>
            <w:vAlign w:val="center"/>
          </w:tcPr>
          <w:p w14:paraId="71660C74" w14:textId="77777777" w:rsidR="00817793" w:rsidRDefault="002719FC">
            <w:pPr>
              <w:spacing w:before="120" w:after="120" w:line="240" w:lineRule="auto"/>
              <w:jc w:val="left"/>
              <w:rPr>
                <w:color w:val="000000"/>
              </w:rPr>
            </w:pPr>
            <w:r>
              <w:rPr>
                <w:color w:val="000000"/>
              </w:rPr>
              <w:t>A análise de sensibilidade é apresentada de forma clara e considera todos os parâmetros relevantes, tais como população-alvo, custo de tecnologias, ocorrência de eventos relevantes (eventos adversos e tempo/custo hospitalização).</w:t>
            </w:r>
          </w:p>
        </w:tc>
        <w:tc>
          <w:tcPr>
            <w:tcW w:w="993" w:type="dxa"/>
            <w:shd w:val="clear" w:color="auto" w:fill="auto"/>
            <w:vAlign w:val="center"/>
          </w:tcPr>
          <w:p w14:paraId="4A014A97"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79796693" w14:textId="77777777" w:rsidR="00817793" w:rsidRDefault="00817793">
            <w:pPr>
              <w:spacing w:before="120" w:after="120" w:line="240" w:lineRule="auto"/>
              <w:jc w:val="center"/>
              <w:rPr>
                <w:color w:val="000000"/>
              </w:rPr>
            </w:pPr>
          </w:p>
        </w:tc>
        <w:tc>
          <w:tcPr>
            <w:tcW w:w="851" w:type="dxa"/>
            <w:shd w:val="clear" w:color="auto" w:fill="auto"/>
            <w:vAlign w:val="center"/>
          </w:tcPr>
          <w:p w14:paraId="47297C67" w14:textId="77777777" w:rsidR="00817793" w:rsidRDefault="00817793">
            <w:pPr>
              <w:spacing w:before="120" w:after="120" w:line="240" w:lineRule="auto"/>
              <w:jc w:val="center"/>
              <w:rPr>
                <w:color w:val="000000"/>
              </w:rPr>
            </w:pPr>
          </w:p>
        </w:tc>
        <w:tc>
          <w:tcPr>
            <w:tcW w:w="708" w:type="dxa"/>
            <w:shd w:val="clear" w:color="auto" w:fill="auto"/>
            <w:vAlign w:val="center"/>
          </w:tcPr>
          <w:p w14:paraId="048740F3" w14:textId="77777777" w:rsidR="00817793" w:rsidRDefault="00817793">
            <w:pPr>
              <w:spacing w:before="120" w:after="120" w:line="240" w:lineRule="auto"/>
              <w:jc w:val="center"/>
              <w:rPr>
                <w:color w:val="000000"/>
              </w:rPr>
            </w:pPr>
          </w:p>
        </w:tc>
        <w:tc>
          <w:tcPr>
            <w:tcW w:w="851" w:type="dxa"/>
            <w:shd w:val="clear" w:color="auto" w:fill="auto"/>
            <w:vAlign w:val="center"/>
          </w:tcPr>
          <w:p w14:paraId="42F8C4BC" w14:textId="77777777" w:rsidR="00817793" w:rsidRDefault="002719FC">
            <w:pPr>
              <w:spacing w:before="120" w:after="120" w:line="240" w:lineRule="auto"/>
              <w:jc w:val="center"/>
              <w:rPr>
                <w:color w:val="000000"/>
              </w:rPr>
            </w:pPr>
            <w:r>
              <w:t>22-24</w:t>
            </w:r>
          </w:p>
        </w:tc>
      </w:tr>
      <w:tr w:rsidR="00817793" w14:paraId="1DDF2BEF" w14:textId="77777777">
        <w:trPr>
          <w:trHeight w:val="799"/>
        </w:trPr>
        <w:tc>
          <w:tcPr>
            <w:tcW w:w="2480" w:type="dxa"/>
            <w:shd w:val="clear" w:color="auto" w:fill="auto"/>
            <w:vAlign w:val="center"/>
          </w:tcPr>
          <w:p w14:paraId="2838C05F" w14:textId="77777777" w:rsidR="00817793" w:rsidRDefault="002719FC">
            <w:pPr>
              <w:spacing w:before="120" w:after="120" w:line="240" w:lineRule="auto"/>
              <w:jc w:val="left"/>
              <w:rPr>
                <w:color w:val="000000"/>
              </w:rPr>
            </w:pPr>
            <w:r>
              <w:rPr>
                <w:color w:val="000000"/>
              </w:rPr>
              <w:t>Caracterização da incerteza</w:t>
            </w:r>
          </w:p>
        </w:tc>
        <w:tc>
          <w:tcPr>
            <w:tcW w:w="992" w:type="dxa"/>
            <w:shd w:val="clear" w:color="auto" w:fill="auto"/>
            <w:vAlign w:val="center"/>
          </w:tcPr>
          <w:p w14:paraId="7B568215" w14:textId="77777777" w:rsidR="00817793" w:rsidRDefault="002719FC">
            <w:pPr>
              <w:spacing w:before="120" w:after="120" w:line="240" w:lineRule="auto"/>
              <w:jc w:val="center"/>
              <w:rPr>
                <w:color w:val="000000"/>
              </w:rPr>
            </w:pPr>
            <w:r>
              <w:rPr>
                <w:color w:val="000000"/>
              </w:rPr>
              <w:t>21</w:t>
            </w:r>
          </w:p>
        </w:tc>
        <w:tc>
          <w:tcPr>
            <w:tcW w:w="5670" w:type="dxa"/>
            <w:shd w:val="clear" w:color="auto" w:fill="auto"/>
            <w:vAlign w:val="center"/>
          </w:tcPr>
          <w:p w14:paraId="51D254D3" w14:textId="77777777" w:rsidR="00817793" w:rsidRDefault="002719FC">
            <w:pPr>
              <w:spacing w:before="120" w:after="120" w:line="240" w:lineRule="auto"/>
              <w:jc w:val="left"/>
              <w:rPr>
                <w:color w:val="000000"/>
              </w:rPr>
            </w:pPr>
            <w:r>
              <w:rPr>
                <w:color w:val="000000"/>
              </w:rPr>
              <w:t>Os efeitos das incertezas para as estimativas são apresentados de forma clara, sendo utilizados elementos gráficos adequados, tais como diagrama de tornado e curva de aceitabilidade.</w:t>
            </w:r>
          </w:p>
        </w:tc>
        <w:tc>
          <w:tcPr>
            <w:tcW w:w="993" w:type="dxa"/>
            <w:shd w:val="clear" w:color="auto" w:fill="auto"/>
            <w:vAlign w:val="center"/>
          </w:tcPr>
          <w:p w14:paraId="43289EF1"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51371A77" w14:textId="77777777" w:rsidR="00817793" w:rsidRDefault="00817793">
            <w:pPr>
              <w:spacing w:before="120" w:after="120" w:line="240" w:lineRule="auto"/>
              <w:jc w:val="center"/>
              <w:rPr>
                <w:color w:val="000000"/>
              </w:rPr>
            </w:pPr>
          </w:p>
        </w:tc>
        <w:tc>
          <w:tcPr>
            <w:tcW w:w="851" w:type="dxa"/>
            <w:shd w:val="clear" w:color="auto" w:fill="auto"/>
            <w:vAlign w:val="center"/>
          </w:tcPr>
          <w:p w14:paraId="732434A0" w14:textId="77777777" w:rsidR="00817793" w:rsidRDefault="00817793">
            <w:pPr>
              <w:spacing w:before="120" w:after="120" w:line="240" w:lineRule="auto"/>
              <w:jc w:val="center"/>
              <w:rPr>
                <w:color w:val="000000"/>
              </w:rPr>
            </w:pPr>
          </w:p>
        </w:tc>
        <w:tc>
          <w:tcPr>
            <w:tcW w:w="708" w:type="dxa"/>
            <w:shd w:val="clear" w:color="auto" w:fill="auto"/>
            <w:vAlign w:val="center"/>
          </w:tcPr>
          <w:p w14:paraId="2328BB07" w14:textId="77777777" w:rsidR="00817793" w:rsidRDefault="00817793">
            <w:pPr>
              <w:spacing w:before="120" w:after="120" w:line="240" w:lineRule="auto"/>
              <w:jc w:val="center"/>
              <w:rPr>
                <w:color w:val="000000"/>
              </w:rPr>
            </w:pPr>
          </w:p>
        </w:tc>
        <w:tc>
          <w:tcPr>
            <w:tcW w:w="851" w:type="dxa"/>
            <w:shd w:val="clear" w:color="auto" w:fill="auto"/>
            <w:vAlign w:val="center"/>
          </w:tcPr>
          <w:p w14:paraId="1D8EB8EE" w14:textId="77777777" w:rsidR="00817793" w:rsidRDefault="002719FC">
            <w:pPr>
              <w:spacing w:before="120" w:after="120" w:line="240" w:lineRule="auto"/>
              <w:jc w:val="center"/>
              <w:rPr>
                <w:color w:val="000000"/>
              </w:rPr>
            </w:pPr>
            <w:r>
              <w:t>24</w:t>
            </w:r>
          </w:p>
        </w:tc>
      </w:tr>
      <w:tr w:rsidR="00817793" w14:paraId="672EED1B" w14:textId="77777777">
        <w:trPr>
          <w:trHeight w:val="525"/>
        </w:trPr>
        <w:tc>
          <w:tcPr>
            <w:tcW w:w="13395" w:type="dxa"/>
            <w:gridSpan w:val="8"/>
            <w:shd w:val="clear" w:color="auto" w:fill="D9E1F2"/>
            <w:vAlign w:val="center"/>
          </w:tcPr>
          <w:p w14:paraId="022522CA" w14:textId="77777777" w:rsidR="00817793" w:rsidRDefault="002719FC">
            <w:pPr>
              <w:spacing w:before="120" w:after="120" w:line="240" w:lineRule="auto"/>
              <w:jc w:val="left"/>
              <w:rPr>
                <w:b/>
              </w:rPr>
            </w:pPr>
            <w:r>
              <w:rPr>
                <w:b/>
              </w:rPr>
              <w:t>Considerações finais</w:t>
            </w:r>
          </w:p>
        </w:tc>
      </w:tr>
      <w:tr w:rsidR="00817793" w14:paraId="2B060E23" w14:textId="77777777">
        <w:trPr>
          <w:trHeight w:val="762"/>
        </w:trPr>
        <w:tc>
          <w:tcPr>
            <w:tcW w:w="2480" w:type="dxa"/>
            <w:shd w:val="clear" w:color="auto" w:fill="auto"/>
            <w:vAlign w:val="center"/>
          </w:tcPr>
          <w:p w14:paraId="51BD7520" w14:textId="77777777" w:rsidR="00817793" w:rsidRDefault="002719FC">
            <w:pPr>
              <w:spacing w:before="120" w:after="120" w:line="240" w:lineRule="auto"/>
              <w:jc w:val="left"/>
              <w:rPr>
                <w:color w:val="000000"/>
              </w:rPr>
            </w:pPr>
            <w:r>
              <w:rPr>
                <w:color w:val="000000"/>
              </w:rPr>
              <w:t>Discussão</w:t>
            </w:r>
          </w:p>
        </w:tc>
        <w:tc>
          <w:tcPr>
            <w:tcW w:w="992" w:type="dxa"/>
            <w:shd w:val="clear" w:color="auto" w:fill="auto"/>
            <w:vAlign w:val="center"/>
          </w:tcPr>
          <w:p w14:paraId="44C26413" w14:textId="77777777" w:rsidR="00817793" w:rsidRDefault="002719FC">
            <w:pPr>
              <w:spacing w:before="120" w:after="120" w:line="240" w:lineRule="auto"/>
              <w:jc w:val="center"/>
              <w:rPr>
                <w:color w:val="000000"/>
              </w:rPr>
            </w:pPr>
            <w:r>
              <w:rPr>
                <w:color w:val="000000"/>
              </w:rPr>
              <w:t>22</w:t>
            </w:r>
          </w:p>
        </w:tc>
        <w:tc>
          <w:tcPr>
            <w:tcW w:w="5670" w:type="dxa"/>
            <w:shd w:val="clear" w:color="auto" w:fill="auto"/>
            <w:vAlign w:val="center"/>
          </w:tcPr>
          <w:p w14:paraId="14781377" w14:textId="77777777" w:rsidR="00817793" w:rsidRDefault="002719FC">
            <w:pPr>
              <w:spacing w:before="120" w:after="120" w:line="240" w:lineRule="auto"/>
              <w:jc w:val="left"/>
              <w:rPr>
                <w:color w:val="000000"/>
              </w:rPr>
            </w:pPr>
            <w:r>
              <w:rPr>
                <w:color w:val="000000"/>
              </w:rPr>
              <w:t>São apresentadas considerações sobre as limitações do estudo, a aplicabilidade da análise e a generalização dos achados.</w:t>
            </w:r>
          </w:p>
        </w:tc>
        <w:tc>
          <w:tcPr>
            <w:tcW w:w="993" w:type="dxa"/>
            <w:shd w:val="clear" w:color="auto" w:fill="auto"/>
            <w:vAlign w:val="center"/>
          </w:tcPr>
          <w:p w14:paraId="256AC6DA" w14:textId="77777777" w:rsidR="00817793" w:rsidRDefault="00817793">
            <w:pPr>
              <w:spacing w:before="120" w:after="120" w:line="240" w:lineRule="auto"/>
              <w:jc w:val="center"/>
              <w:rPr>
                <w:color w:val="000000"/>
              </w:rPr>
            </w:pPr>
          </w:p>
        </w:tc>
        <w:tc>
          <w:tcPr>
            <w:tcW w:w="850" w:type="dxa"/>
            <w:shd w:val="clear" w:color="auto" w:fill="auto"/>
            <w:vAlign w:val="center"/>
          </w:tcPr>
          <w:p w14:paraId="4C0A976B" w14:textId="77777777" w:rsidR="00817793" w:rsidRDefault="002719FC">
            <w:pPr>
              <w:spacing w:before="120" w:after="120" w:line="240" w:lineRule="auto"/>
              <w:jc w:val="center"/>
              <w:rPr>
                <w:color w:val="000000"/>
              </w:rPr>
            </w:pPr>
            <w:r>
              <w:t>x</w:t>
            </w:r>
          </w:p>
        </w:tc>
        <w:tc>
          <w:tcPr>
            <w:tcW w:w="851" w:type="dxa"/>
            <w:shd w:val="clear" w:color="auto" w:fill="auto"/>
            <w:vAlign w:val="center"/>
          </w:tcPr>
          <w:p w14:paraId="38AA98D6" w14:textId="77777777" w:rsidR="00817793" w:rsidRDefault="00817793">
            <w:pPr>
              <w:spacing w:before="120" w:after="120" w:line="240" w:lineRule="auto"/>
              <w:jc w:val="center"/>
              <w:rPr>
                <w:color w:val="000000"/>
              </w:rPr>
            </w:pPr>
          </w:p>
        </w:tc>
        <w:tc>
          <w:tcPr>
            <w:tcW w:w="708" w:type="dxa"/>
            <w:shd w:val="clear" w:color="auto" w:fill="auto"/>
            <w:vAlign w:val="center"/>
          </w:tcPr>
          <w:p w14:paraId="665A1408" w14:textId="77777777" w:rsidR="00817793" w:rsidRDefault="00817793">
            <w:pPr>
              <w:spacing w:before="120" w:after="120" w:line="240" w:lineRule="auto"/>
              <w:jc w:val="center"/>
              <w:rPr>
                <w:color w:val="000000"/>
              </w:rPr>
            </w:pPr>
          </w:p>
        </w:tc>
        <w:tc>
          <w:tcPr>
            <w:tcW w:w="851" w:type="dxa"/>
            <w:shd w:val="clear" w:color="auto" w:fill="auto"/>
            <w:vAlign w:val="center"/>
          </w:tcPr>
          <w:p w14:paraId="522B75B1" w14:textId="77777777" w:rsidR="00817793" w:rsidRDefault="002719FC">
            <w:pPr>
              <w:spacing w:before="120" w:after="120" w:line="240" w:lineRule="auto"/>
              <w:jc w:val="center"/>
              <w:rPr>
                <w:color w:val="000000"/>
              </w:rPr>
            </w:pPr>
            <w:r>
              <w:t>25-26</w:t>
            </w:r>
          </w:p>
        </w:tc>
      </w:tr>
      <w:tr w:rsidR="00817793" w14:paraId="20A3C785" w14:textId="77777777">
        <w:trPr>
          <w:trHeight w:val="762"/>
        </w:trPr>
        <w:tc>
          <w:tcPr>
            <w:tcW w:w="2480" w:type="dxa"/>
            <w:shd w:val="clear" w:color="auto" w:fill="auto"/>
            <w:vAlign w:val="center"/>
          </w:tcPr>
          <w:p w14:paraId="1157C89D" w14:textId="77777777" w:rsidR="00817793" w:rsidRDefault="002719FC">
            <w:pPr>
              <w:spacing w:before="120" w:after="120" w:line="240" w:lineRule="auto"/>
              <w:jc w:val="left"/>
              <w:rPr>
                <w:color w:val="000000"/>
              </w:rPr>
            </w:pPr>
            <w:r>
              <w:rPr>
                <w:color w:val="000000"/>
              </w:rPr>
              <w:t>Conclusão</w:t>
            </w:r>
          </w:p>
        </w:tc>
        <w:tc>
          <w:tcPr>
            <w:tcW w:w="992" w:type="dxa"/>
            <w:shd w:val="clear" w:color="auto" w:fill="auto"/>
            <w:vAlign w:val="center"/>
          </w:tcPr>
          <w:p w14:paraId="346E8674" w14:textId="77777777" w:rsidR="00817793" w:rsidRDefault="002719FC">
            <w:pPr>
              <w:spacing w:before="120" w:after="120" w:line="240" w:lineRule="auto"/>
              <w:jc w:val="center"/>
              <w:rPr>
                <w:color w:val="000000"/>
              </w:rPr>
            </w:pPr>
            <w:r>
              <w:rPr>
                <w:color w:val="000000"/>
              </w:rPr>
              <w:t>23</w:t>
            </w:r>
          </w:p>
        </w:tc>
        <w:tc>
          <w:tcPr>
            <w:tcW w:w="5670" w:type="dxa"/>
            <w:shd w:val="clear" w:color="auto" w:fill="auto"/>
            <w:vAlign w:val="center"/>
          </w:tcPr>
          <w:p w14:paraId="75DC209A" w14:textId="77777777" w:rsidR="00817793" w:rsidRDefault="002719FC">
            <w:pPr>
              <w:spacing w:before="120" w:after="120" w:line="240" w:lineRule="auto"/>
              <w:jc w:val="left"/>
              <w:rPr>
                <w:color w:val="000000"/>
              </w:rPr>
            </w:pPr>
            <w:r>
              <w:rPr>
                <w:color w:val="000000"/>
              </w:rPr>
              <w:t>A conclusão geral da análise reflete adequadamente os achados e apresenta recomendação quanto à incorporação da tecnologia.</w:t>
            </w:r>
          </w:p>
        </w:tc>
        <w:tc>
          <w:tcPr>
            <w:tcW w:w="993" w:type="dxa"/>
            <w:shd w:val="clear" w:color="auto" w:fill="auto"/>
            <w:vAlign w:val="center"/>
          </w:tcPr>
          <w:p w14:paraId="5D1AB4C5" w14:textId="77777777" w:rsidR="00817793" w:rsidRDefault="002719FC">
            <w:pPr>
              <w:spacing w:before="120" w:after="120" w:line="240" w:lineRule="auto"/>
              <w:jc w:val="center"/>
              <w:rPr>
                <w:color w:val="000000"/>
              </w:rPr>
            </w:pPr>
            <w:r>
              <w:t>x</w:t>
            </w:r>
          </w:p>
        </w:tc>
        <w:tc>
          <w:tcPr>
            <w:tcW w:w="850" w:type="dxa"/>
            <w:shd w:val="clear" w:color="auto" w:fill="auto"/>
            <w:vAlign w:val="center"/>
          </w:tcPr>
          <w:p w14:paraId="71049383" w14:textId="77777777" w:rsidR="00817793" w:rsidRDefault="00817793">
            <w:pPr>
              <w:spacing w:before="120" w:after="120" w:line="240" w:lineRule="auto"/>
              <w:jc w:val="center"/>
              <w:rPr>
                <w:color w:val="000000"/>
              </w:rPr>
            </w:pPr>
          </w:p>
        </w:tc>
        <w:tc>
          <w:tcPr>
            <w:tcW w:w="851" w:type="dxa"/>
            <w:shd w:val="clear" w:color="auto" w:fill="auto"/>
            <w:vAlign w:val="center"/>
          </w:tcPr>
          <w:p w14:paraId="4D16AC41" w14:textId="77777777" w:rsidR="00817793" w:rsidRDefault="00817793">
            <w:pPr>
              <w:spacing w:before="120" w:after="120" w:line="240" w:lineRule="auto"/>
              <w:jc w:val="center"/>
              <w:rPr>
                <w:color w:val="000000"/>
              </w:rPr>
            </w:pPr>
          </w:p>
        </w:tc>
        <w:tc>
          <w:tcPr>
            <w:tcW w:w="708" w:type="dxa"/>
            <w:shd w:val="clear" w:color="auto" w:fill="auto"/>
            <w:vAlign w:val="center"/>
          </w:tcPr>
          <w:p w14:paraId="12A4EA11" w14:textId="77777777" w:rsidR="00817793" w:rsidRDefault="00817793">
            <w:pPr>
              <w:spacing w:before="120" w:after="120" w:line="240" w:lineRule="auto"/>
              <w:jc w:val="center"/>
              <w:rPr>
                <w:color w:val="000000"/>
              </w:rPr>
            </w:pPr>
          </w:p>
        </w:tc>
        <w:tc>
          <w:tcPr>
            <w:tcW w:w="851" w:type="dxa"/>
            <w:shd w:val="clear" w:color="auto" w:fill="auto"/>
            <w:vAlign w:val="center"/>
          </w:tcPr>
          <w:p w14:paraId="418765A4" w14:textId="77777777" w:rsidR="00817793" w:rsidRDefault="002719FC">
            <w:pPr>
              <w:spacing w:before="120" w:after="120" w:line="240" w:lineRule="auto"/>
              <w:jc w:val="center"/>
              <w:rPr>
                <w:color w:val="000000"/>
              </w:rPr>
            </w:pPr>
            <w:r>
              <w:t>25-26</w:t>
            </w:r>
          </w:p>
        </w:tc>
      </w:tr>
    </w:tbl>
    <w:p w14:paraId="5A1EA135" w14:textId="77777777" w:rsidR="00817793" w:rsidRDefault="002719FC">
      <w:pPr>
        <w:spacing w:before="0" w:after="160" w:line="259" w:lineRule="auto"/>
        <w:jc w:val="left"/>
      </w:pPr>
      <w:r>
        <w:br w:type="page"/>
      </w:r>
    </w:p>
    <w:tbl>
      <w:tblPr>
        <w:tblStyle w:val="affff2"/>
        <w:tblW w:w="1339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992"/>
        <w:gridCol w:w="5670"/>
        <w:gridCol w:w="993"/>
        <w:gridCol w:w="850"/>
        <w:gridCol w:w="851"/>
        <w:gridCol w:w="708"/>
        <w:gridCol w:w="851"/>
      </w:tblGrid>
      <w:tr w:rsidR="00817793" w14:paraId="5FFC6DCB" w14:textId="77777777">
        <w:trPr>
          <w:trHeight w:val="762"/>
        </w:trPr>
        <w:tc>
          <w:tcPr>
            <w:tcW w:w="248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2EC56FDE" w14:textId="77777777" w:rsidR="00817793" w:rsidRDefault="002719FC">
            <w:pPr>
              <w:spacing w:before="120" w:after="120" w:line="240" w:lineRule="auto"/>
              <w:jc w:val="center"/>
              <w:rPr>
                <w:b/>
              </w:rPr>
            </w:pPr>
            <w:r>
              <w:rPr>
                <w:b/>
              </w:rPr>
              <w:lastRenderedPageBreak/>
              <w:t>Seção/Item</w:t>
            </w:r>
          </w:p>
        </w:tc>
        <w:tc>
          <w:tcPr>
            <w:tcW w:w="992"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0AC0581C" w14:textId="77777777" w:rsidR="00817793" w:rsidRDefault="002719FC">
            <w:pPr>
              <w:spacing w:before="120" w:after="120" w:line="240" w:lineRule="auto"/>
              <w:jc w:val="center"/>
              <w:rPr>
                <w:b/>
              </w:rPr>
            </w:pPr>
            <w:r>
              <w:rPr>
                <w:b/>
              </w:rPr>
              <w:t>Item n°</w:t>
            </w:r>
          </w:p>
        </w:tc>
        <w:tc>
          <w:tcPr>
            <w:tcW w:w="567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6529C428" w14:textId="77777777" w:rsidR="00817793" w:rsidRDefault="002719FC">
            <w:pPr>
              <w:spacing w:before="120" w:after="120" w:line="240" w:lineRule="auto"/>
              <w:jc w:val="center"/>
              <w:rPr>
                <w:b/>
              </w:rPr>
            </w:pPr>
            <w:r>
              <w:rPr>
                <w:b/>
              </w:rPr>
              <w:t>Conteúdo para verificação</w:t>
            </w:r>
          </w:p>
        </w:tc>
        <w:tc>
          <w:tcPr>
            <w:tcW w:w="993"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787879B3" w14:textId="77777777" w:rsidR="00817793" w:rsidRDefault="002719FC">
            <w:pPr>
              <w:spacing w:before="120" w:after="120" w:line="240" w:lineRule="auto"/>
              <w:jc w:val="center"/>
              <w:rPr>
                <w:b/>
              </w:rPr>
            </w:pPr>
            <w:r>
              <w:rPr>
                <w:b/>
              </w:rPr>
              <w:t>Sim</w:t>
            </w:r>
          </w:p>
        </w:tc>
        <w:tc>
          <w:tcPr>
            <w:tcW w:w="850"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01D6D3BD" w14:textId="77777777" w:rsidR="00817793" w:rsidRDefault="002719FC">
            <w:pPr>
              <w:spacing w:before="120" w:after="120" w:line="240" w:lineRule="auto"/>
              <w:jc w:val="center"/>
              <w:rPr>
                <w:b/>
              </w:rPr>
            </w:pPr>
            <w:r>
              <w:rPr>
                <w:b/>
              </w:rPr>
              <w:t>Não</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07432E49" w14:textId="77777777" w:rsidR="00817793" w:rsidRDefault="002719FC">
            <w:pPr>
              <w:spacing w:before="120" w:after="120" w:line="240" w:lineRule="auto"/>
              <w:jc w:val="center"/>
              <w:rPr>
                <w:b/>
              </w:rPr>
            </w:pPr>
            <w:r>
              <w:rPr>
                <w:b/>
              </w:rPr>
              <w:t>Parcial</w:t>
            </w:r>
          </w:p>
        </w:tc>
        <w:tc>
          <w:tcPr>
            <w:tcW w:w="708"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680296A4" w14:textId="77777777" w:rsidR="00817793" w:rsidRDefault="002719FC">
            <w:pPr>
              <w:spacing w:before="120" w:after="120" w:line="240" w:lineRule="auto"/>
              <w:jc w:val="center"/>
              <w:rPr>
                <w:b/>
              </w:rPr>
            </w:pPr>
            <w:r>
              <w:rPr>
                <w:b/>
              </w:rPr>
              <w:t>NA</w:t>
            </w:r>
          </w:p>
        </w:tc>
        <w:tc>
          <w:tcPr>
            <w:tcW w:w="851" w:type="dxa"/>
            <w:tcBorders>
              <w:top w:val="single" w:sz="4" w:space="0" w:color="000000"/>
              <w:left w:val="single" w:sz="4" w:space="0" w:color="000000"/>
              <w:bottom w:val="single" w:sz="4" w:space="0" w:color="000000"/>
              <w:right w:val="single" w:sz="4" w:space="0" w:color="000000"/>
            </w:tcBorders>
            <w:shd w:val="clear" w:color="auto" w:fill="8EAADB"/>
            <w:vAlign w:val="center"/>
          </w:tcPr>
          <w:p w14:paraId="54462EA8" w14:textId="77777777" w:rsidR="00817793" w:rsidRDefault="002719FC">
            <w:pPr>
              <w:spacing w:before="120" w:after="120" w:line="240" w:lineRule="auto"/>
              <w:jc w:val="center"/>
              <w:rPr>
                <w:b/>
              </w:rPr>
            </w:pPr>
            <w:proofErr w:type="spellStart"/>
            <w:r>
              <w:rPr>
                <w:b/>
              </w:rPr>
              <w:t>Pág.nº</w:t>
            </w:r>
            <w:proofErr w:type="spellEnd"/>
          </w:p>
        </w:tc>
      </w:tr>
      <w:tr w:rsidR="00817793" w14:paraId="3791447C" w14:textId="77777777">
        <w:trPr>
          <w:trHeight w:val="525"/>
        </w:trPr>
        <w:tc>
          <w:tcPr>
            <w:tcW w:w="13395" w:type="dxa"/>
            <w:gridSpan w:val="8"/>
            <w:shd w:val="clear" w:color="auto" w:fill="D9E1F2"/>
            <w:vAlign w:val="center"/>
          </w:tcPr>
          <w:p w14:paraId="44B291B5" w14:textId="77777777" w:rsidR="00817793" w:rsidRDefault="002719FC">
            <w:pPr>
              <w:spacing w:before="120" w:after="120" w:line="240" w:lineRule="auto"/>
              <w:jc w:val="left"/>
              <w:rPr>
                <w:b/>
              </w:rPr>
            </w:pPr>
            <w:r>
              <w:rPr>
                <w:b/>
              </w:rPr>
              <w:t>Outros</w:t>
            </w:r>
          </w:p>
        </w:tc>
      </w:tr>
      <w:tr w:rsidR="00817793" w14:paraId="05297453" w14:textId="77777777">
        <w:trPr>
          <w:trHeight w:val="762"/>
        </w:trPr>
        <w:tc>
          <w:tcPr>
            <w:tcW w:w="2480" w:type="dxa"/>
            <w:shd w:val="clear" w:color="auto" w:fill="auto"/>
            <w:vAlign w:val="center"/>
          </w:tcPr>
          <w:p w14:paraId="357BD05E" w14:textId="77777777" w:rsidR="00817793" w:rsidRDefault="002719FC">
            <w:pPr>
              <w:spacing w:before="120" w:after="120" w:line="240" w:lineRule="auto"/>
              <w:jc w:val="left"/>
              <w:rPr>
                <w:color w:val="000000"/>
              </w:rPr>
            </w:pPr>
            <w:r>
              <w:rPr>
                <w:color w:val="000000"/>
              </w:rPr>
              <w:t>Conflito de interesse</w:t>
            </w:r>
          </w:p>
        </w:tc>
        <w:tc>
          <w:tcPr>
            <w:tcW w:w="992" w:type="dxa"/>
            <w:shd w:val="clear" w:color="auto" w:fill="auto"/>
            <w:vAlign w:val="center"/>
          </w:tcPr>
          <w:p w14:paraId="0AA4FC67" w14:textId="77777777" w:rsidR="00817793" w:rsidRDefault="002719FC">
            <w:pPr>
              <w:spacing w:before="120" w:after="120" w:line="240" w:lineRule="auto"/>
              <w:jc w:val="center"/>
              <w:rPr>
                <w:color w:val="000000"/>
              </w:rPr>
            </w:pPr>
            <w:r>
              <w:rPr>
                <w:color w:val="000000"/>
              </w:rPr>
              <w:t>24</w:t>
            </w:r>
          </w:p>
        </w:tc>
        <w:tc>
          <w:tcPr>
            <w:tcW w:w="5670" w:type="dxa"/>
            <w:shd w:val="clear" w:color="auto" w:fill="auto"/>
            <w:vAlign w:val="center"/>
          </w:tcPr>
          <w:p w14:paraId="2A83745D" w14:textId="77777777" w:rsidR="00817793" w:rsidRDefault="002719FC">
            <w:pPr>
              <w:spacing w:before="120" w:after="120" w:line="240" w:lineRule="auto"/>
              <w:jc w:val="left"/>
              <w:rPr>
                <w:color w:val="000000"/>
              </w:rPr>
            </w:pPr>
            <w:r>
              <w:rPr>
                <w:color w:val="000000"/>
              </w:rPr>
              <w:t>Declara qualquer potencial para conflito de interesse dos autores do estudo.</w:t>
            </w:r>
          </w:p>
        </w:tc>
        <w:tc>
          <w:tcPr>
            <w:tcW w:w="993" w:type="dxa"/>
            <w:shd w:val="clear" w:color="auto" w:fill="auto"/>
            <w:vAlign w:val="center"/>
          </w:tcPr>
          <w:p w14:paraId="58717D39" w14:textId="77777777" w:rsidR="00817793" w:rsidRDefault="00817793">
            <w:pPr>
              <w:spacing w:before="120" w:after="120" w:line="240" w:lineRule="auto"/>
              <w:jc w:val="center"/>
              <w:rPr>
                <w:color w:val="000000"/>
              </w:rPr>
            </w:pPr>
          </w:p>
        </w:tc>
        <w:tc>
          <w:tcPr>
            <w:tcW w:w="850" w:type="dxa"/>
            <w:shd w:val="clear" w:color="auto" w:fill="auto"/>
            <w:vAlign w:val="center"/>
          </w:tcPr>
          <w:p w14:paraId="5338A720" w14:textId="77777777" w:rsidR="00817793" w:rsidRDefault="00817793">
            <w:pPr>
              <w:spacing w:before="120" w:after="120" w:line="240" w:lineRule="auto"/>
              <w:jc w:val="center"/>
              <w:rPr>
                <w:color w:val="000000"/>
              </w:rPr>
            </w:pPr>
          </w:p>
        </w:tc>
        <w:tc>
          <w:tcPr>
            <w:tcW w:w="851" w:type="dxa"/>
            <w:shd w:val="clear" w:color="auto" w:fill="auto"/>
            <w:vAlign w:val="center"/>
          </w:tcPr>
          <w:p w14:paraId="61DAA4D5" w14:textId="77777777" w:rsidR="00817793" w:rsidRDefault="00817793">
            <w:pPr>
              <w:spacing w:before="120" w:after="120" w:line="240" w:lineRule="auto"/>
              <w:jc w:val="center"/>
              <w:rPr>
                <w:color w:val="000000"/>
              </w:rPr>
            </w:pPr>
          </w:p>
        </w:tc>
        <w:tc>
          <w:tcPr>
            <w:tcW w:w="708" w:type="dxa"/>
            <w:shd w:val="clear" w:color="auto" w:fill="auto"/>
            <w:vAlign w:val="center"/>
          </w:tcPr>
          <w:p w14:paraId="5E4BFF04" w14:textId="77777777" w:rsidR="00817793" w:rsidRDefault="002719FC">
            <w:pPr>
              <w:spacing w:before="120" w:after="120" w:line="240" w:lineRule="auto"/>
              <w:jc w:val="center"/>
              <w:rPr>
                <w:color w:val="000000"/>
              </w:rPr>
            </w:pPr>
            <w:r>
              <w:rPr>
                <w:color w:val="000000"/>
              </w:rPr>
              <w:t>x</w:t>
            </w:r>
          </w:p>
        </w:tc>
        <w:tc>
          <w:tcPr>
            <w:tcW w:w="851" w:type="dxa"/>
            <w:shd w:val="clear" w:color="auto" w:fill="auto"/>
            <w:vAlign w:val="center"/>
          </w:tcPr>
          <w:p w14:paraId="2AEAF47F" w14:textId="77777777" w:rsidR="00817793" w:rsidRDefault="00817793">
            <w:pPr>
              <w:spacing w:before="120" w:after="120" w:line="240" w:lineRule="auto"/>
              <w:jc w:val="center"/>
              <w:rPr>
                <w:color w:val="000000"/>
              </w:rPr>
            </w:pPr>
          </w:p>
        </w:tc>
      </w:tr>
      <w:tr w:rsidR="00817793" w14:paraId="19F1E529" w14:textId="77777777">
        <w:trPr>
          <w:trHeight w:val="762"/>
        </w:trPr>
        <w:tc>
          <w:tcPr>
            <w:tcW w:w="2480" w:type="dxa"/>
            <w:shd w:val="clear" w:color="auto" w:fill="auto"/>
            <w:vAlign w:val="center"/>
          </w:tcPr>
          <w:p w14:paraId="3F21982C" w14:textId="77777777" w:rsidR="00817793" w:rsidRDefault="002719FC">
            <w:pPr>
              <w:spacing w:before="120" w:after="120" w:line="240" w:lineRule="auto"/>
              <w:jc w:val="left"/>
              <w:rPr>
                <w:color w:val="000000"/>
              </w:rPr>
            </w:pPr>
            <w:r>
              <w:rPr>
                <w:color w:val="000000"/>
              </w:rPr>
              <w:t>Referências</w:t>
            </w:r>
          </w:p>
        </w:tc>
        <w:tc>
          <w:tcPr>
            <w:tcW w:w="992" w:type="dxa"/>
            <w:shd w:val="clear" w:color="auto" w:fill="auto"/>
            <w:vAlign w:val="center"/>
          </w:tcPr>
          <w:p w14:paraId="4BFDD700" w14:textId="77777777" w:rsidR="00817793" w:rsidRDefault="002719FC">
            <w:pPr>
              <w:spacing w:before="120" w:after="120" w:line="240" w:lineRule="auto"/>
              <w:jc w:val="center"/>
              <w:rPr>
                <w:color w:val="000000"/>
              </w:rPr>
            </w:pPr>
            <w:r>
              <w:rPr>
                <w:color w:val="000000"/>
              </w:rPr>
              <w:t>25</w:t>
            </w:r>
          </w:p>
        </w:tc>
        <w:tc>
          <w:tcPr>
            <w:tcW w:w="5670" w:type="dxa"/>
            <w:shd w:val="clear" w:color="auto" w:fill="auto"/>
            <w:vAlign w:val="center"/>
          </w:tcPr>
          <w:p w14:paraId="5A862678" w14:textId="77777777" w:rsidR="00817793" w:rsidRDefault="002719FC">
            <w:pPr>
              <w:spacing w:before="120" w:after="120" w:line="240" w:lineRule="auto"/>
              <w:jc w:val="left"/>
              <w:rPr>
                <w:color w:val="000000"/>
              </w:rPr>
            </w:pPr>
            <w:r>
              <w:rPr>
                <w:color w:val="000000"/>
              </w:rPr>
              <w:t>Informa as referências utilizadas para a elaboração do estudo.</w:t>
            </w:r>
          </w:p>
        </w:tc>
        <w:tc>
          <w:tcPr>
            <w:tcW w:w="993" w:type="dxa"/>
            <w:shd w:val="clear" w:color="auto" w:fill="auto"/>
            <w:vAlign w:val="center"/>
          </w:tcPr>
          <w:p w14:paraId="281B37BA" w14:textId="77777777" w:rsidR="00817793" w:rsidRDefault="00817793">
            <w:pPr>
              <w:spacing w:before="120" w:after="120" w:line="240" w:lineRule="auto"/>
              <w:jc w:val="center"/>
              <w:rPr>
                <w:color w:val="000000"/>
              </w:rPr>
            </w:pPr>
          </w:p>
        </w:tc>
        <w:tc>
          <w:tcPr>
            <w:tcW w:w="850" w:type="dxa"/>
            <w:shd w:val="clear" w:color="auto" w:fill="auto"/>
            <w:vAlign w:val="center"/>
          </w:tcPr>
          <w:p w14:paraId="2E500C74" w14:textId="77777777" w:rsidR="00817793" w:rsidRDefault="00817793">
            <w:pPr>
              <w:spacing w:before="120" w:after="120" w:line="240" w:lineRule="auto"/>
              <w:jc w:val="center"/>
              <w:rPr>
                <w:color w:val="000000"/>
              </w:rPr>
            </w:pPr>
          </w:p>
        </w:tc>
        <w:tc>
          <w:tcPr>
            <w:tcW w:w="851" w:type="dxa"/>
            <w:shd w:val="clear" w:color="auto" w:fill="auto"/>
            <w:vAlign w:val="center"/>
          </w:tcPr>
          <w:p w14:paraId="4ACF92DA"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74CD1D1F" w14:textId="77777777" w:rsidR="00817793" w:rsidRDefault="00817793">
            <w:pPr>
              <w:spacing w:before="120" w:after="120" w:line="240" w:lineRule="auto"/>
              <w:jc w:val="center"/>
              <w:rPr>
                <w:color w:val="000000"/>
              </w:rPr>
            </w:pPr>
          </w:p>
        </w:tc>
        <w:tc>
          <w:tcPr>
            <w:tcW w:w="851" w:type="dxa"/>
            <w:shd w:val="clear" w:color="auto" w:fill="auto"/>
            <w:vAlign w:val="center"/>
          </w:tcPr>
          <w:p w14:paraId="7B8116D4" w14:textId="77777777" w:rsidR="00817793" w:rsidRDefault="002719FC">
            <w:pPr>
              <w:spacing w:before="120" w:after="120" w:line="240" w:lineRule="auto"/>
              <w:jc w:val="center"/>
              <w:rPr>
                <w:color w:val="000000"/>
              </w:rPr>
            </w:pPr>
            <w:r>
              <w:t>26-30</w:t>
            </w:r>
          </w:p>
        </w:tc>
      </w:tr>
      <w:tr w:rsidR="00817793" w14:paraId="746311F2" w14:textId="77777777">
        <w:trPr>
          <w:trHeight w:val="762"/>
        </w:trPr>
        <w:tc>
          <w:tcPr>
            <w:tcW w:w="2480" w:type="dxa"/>
            <w:shd w:val="clear" w:color="auto" w:fill="auto"/>
            <w:vAlign w:val="center"/>
          </w:tcPr>
          <w:p w14:paraId="453C9B32" w14:textId="77777777" w:rsidR="00817793" w:rsidRDefault="002719FC">
            <w:pPr>
              <w:spacing w:before="120" w:after="120" w:line="240" w:lineRule="auto"/>
              <w:jc w:val="left"/>
              <w:rPr>
                <w:color w:val="000000"/>
              </w:rPr>
            </w:pPr>
            <w:r>
              <w:rPr>
                <w:color w:val="000000"/>
              </w:rPr>
              <w:t>Instrumento de apoio</w:t>
            </w:r>
          </w:p>
        </w:tc>
        <w:tc>
          <w:tcPr>
            <w:tcW w:w="992" w:type="dxa"/>
            <w:shd w:val="clear" w:color="auto" w:fill="auto"/>
            <w:vAlign w:val="center"/>
          </w:tcPr>
          <w:p w14:paraId="36334656" w14:textId="77777777" w:rsidR="00817793" w:rsidRDefault="002719FC">
            <w:pPr>
              <w:spacing w:before="120" w:after="120" w:line="240" w:lineRule="auto"/>
              <w:jc w:val="center"/>
              <w:rPr>
                <w:color w:val="000000"/>
              </w:rPr>
            </w:pPr>
            <w:r>
              <w:rPr>
                <w:color w:val="000000"/>
              </w:rPr>
              <w:t>26</w:t>
            </w:r>
          </w:p>
        </w:tc>
        <w:tc>
          <w:tcPr>
            <w:tcW w:w="5670" w:type="dxa"/>
            <w:shd w:val="clear" w:color="auto" w:fill="auto"/>
            <w:vAlign w:val="center"/>
          </w:tcPr>
          <w:p w14:paraId="1F4D7989" w14:textId="77777777" w:rsidR="00817793" w:rsidRDefault="002719FC">
            <w:pPr>
              <w:spacing w:before="120" w:after="120" w:line="240" w:lineRule="auto"/>
              <w:jc w:val="left"/>
              <w:rPr>
                <w:color w:val="000000"/>
              </w:rPr>
            </w:pPr>
            <w:r>
              <w:rPr>
                <w:color w:val="000000"/>
              </w:rPr>
              <w:t>O instrumento de apoio (</w:t>
            </w:r>
            <w:proofErr w:type="spellStart"/>
            <w:r>
              <w:rPr>
                <w:color w:val="000000"/>
              </w:rPr>
              <w:t>ex</w:t>
            </w:r>
            <w:proofErr w:type="spellEnd"/>
            <w:r>
              <w:rPr>
                <w:color w:val="000000"/>
              </w:rPr>
              <w:t xml:space="preserve">: planilha eletrônica) utilizado no estudo é </w:t>
            </w:r>
            <w:r>
              <w:t>apresentado</w:t>
            </w:r>
            <w:r>
              <w:rPr>
                <w:color w:val="000000"/>
              </w:rPr>
              <w:t xml:space="preserve"> na íntegra e é reprodutível.</w:t>
            </w:r>
          </w:p>
        </w:tc>
        <w:tc>
          <w:tcPr>
            <w:tcW w:w="993" w:type="dxa"/>
            <w:shd w:val="clear" w:color="auto" w:fill="auto"/>
            <w:vAlign w:val="center"/>
          </w:tcPr>
          <w:p w14:paraId="1C5BEDD8" w14:textId="77777777" w:rsidR="00817793" w:rsidRDefault="00817793">
            <w:pPr>
              <w:spacing w:before="120" w:after="120" w:line="240" w:lineRule="auto"/>
              <w:jc w:val="center"/>
              <w:rPr>
                <w:color w:val="000000"/>
              </w:rPr>
            </w:pPr>
          </w:p>
        </w:tc>
        <w:tc>
          <w:tcPr>
            <w:tcW w:w="850" w:type="dxa"/>
            <w:shd w:val="clear" w:color="auto" w:fill="auto"/>
            <w:vAlign w:val="center"/>
          </w:tcPr>
          <w:p w14:paraId="02915484" w14:textId="77777777" w:rsidR="00817793" w:rsidRDefault="00817793">
            <w:pPr>
              <w:spacing w:before="120" w:after="120" w:line="240" w:lineRule="auto"/>
              <w:jc w:val="center"/>
              <w:rPr>
                <w:color w:val="000000"/>
              </w:rPr>
            </w:pPr>
          </w:p>
        </w:tc>
        <w:tc>
          <w:tcPr>
            <w:tcW w:w="851" w:type="dxa"/>
            <w:shd w:val="clear" w:color="auto" w:fill="auto"/>
            <w:vAlign w:val="center"/>
          </w:tcPr>
          <w:p w14:paraId="26EE523F" w14:textId="77777777" w:rsidR="00817793" w:rsidRDefault="002719FC">
            <w:pPr>
              <w:spacing w:before="120" w:after="120" w:line="240" w:lineRule="auto"/>
              <w:jc w:val="center"/>
              <w:rPr>
                <w:color w:val="000000"/>
              </w:rPr>
            </w:pPr>
            <w:r>
              <w:t>x</w:t>
            </w:r>
          </w:p>
        </w:tc>
        <w:tc>
          <w:tcPr>
            <w:tcW w:w="708" w:type="dxa"/>
            <w:shd w:val="clear" w:color="auto" w:fill="auto"/>
            <w:vAlign w:val="center"/>
          </w:tcPr>
          <w:p w14:paraId="03B94F49" w14:textId="77777777" w:rsidR="00817793" w:rsidRDefault="00817793">
            <w:pPr>
              <w:spacing w:before="120" w:after="120" w:line="240" w:lineRule="auto"/>
              <w:jc w:val="center"/>
              <w:rPr>
                <w:color w:val="000000"/>
              </w:rPr>
            </w:pPr>
          </w:p>
        </w:tc>
        <w:tc>
          <w:tcPr>
            <w:tcW w:w="851" w:type="dxa"/>
            <w:shd w:val="clear" w:color="auto" w:fill="auto"/>
            <w:vAlign w:val="center"/>
          </w:tcPr>
          <w:p w14:paraId="6D846F5D" w14:textId="77777777" w:rsidR="00817793" w:rsidRDefault="00817793">
            <w:pPr>
              <w:spacing w:before="120" w:after="120" w:line="240" w:lineRule="auto"/>
              <w:jc w:val="center"/>
              <w:rPr>
                <w:color w:val="000000"/>
              </w:rPr>
            </w:pPr>
          </w:p>
        </w:tc>
      </w:tr>
    </w:tbl>
    <w:p w14:paraId="50895ED7" w14:textId="77777777" w:rsidR="00817793" w:rsidRDefault="002719FC">
      <w:pPr>
        <w:spacing w:before="60" w:after="60" w:line="240" w:lineRule="auto"/>
        <w:jc w:val="left"/>
        <w:rPr>
          <w:i/>
          <w:color w:val="000000"/>
          <w:sz w:val="20"/>
          <w:szCs w:val="20"/>
        </w:rPr>
      </w:pPr>
      <w:r>
        <w:rPr>
          <w:i/>
          <w:color w:val="000000"/>
          <w:sz w:val="20"/>
          <w:szCs w:val="20"/>
        </w:rPr>
        <w:t xml:space="preserve">Fontes: </w:t>
      </w:r>
    </w:p>
    <w:p w14:paraId="279EC144" w14:textId="77777777" w:rsidR="00817793" w:rsidRDefault="002719FC">
      <w:pPr>
        <w:spacing w:before="120" w:after="120" w:line="240" w:lineRule="auto"/>
        <w:jc w:val="left"/>
        <w:rPr>
          <w:color w:val="000000"/>
          <w:sz w:val="20"/>
          <w:szCs w:val="20"/>
        </w:rPr>
      </w:pPr>
      <w:r>
        <w:rPr>
          <w:color w:val="000000"/>
          <w:sz w:val="20"/>
          <w:szCs w:val="20"/>
        </w:rPr>
        <w:t>Brasil, Ministério da Saúde, Secretaria de Ciência, Tecnologia e Insumos Estratégicos. Diretrizes metodológicas: diretriz de avaliação econômica. Brasília, Ministério da Saúde, 2014. 2 ed.</w:t>
      </w:r>
    </w:p>
    <w:p w14:paraId="6AD5B1A3" w14:textId="77777777" w:rsidR="00817793" w:rsidRDefault="002719FC">
      <w:pPr>
        <w:spacing w:before="120" w:after="120" w:line="240" w:lineRule="auto"/>
        <w:jc w:val="left"/>
        <w:rPr>
          <w:color w:val="000000"/>
          <w:sz w:val="20"/>
          <w:szCs w:val="20"/>
        </w:rPr>
      </w:pPr>
      <w:r>
        <w:rPr>
          <w:color w:val="000000"/>
          <w:sz w:val="20"/>
          <w:szCs w:val="20"/>
        </w:rPr>
        <w:t>Galvão, TF, Pereira MG, Silva MT. Estudos de avaliação econômica de tecnologias em saúde: roteiro para análise crítica. Panam Salud Publica. 2014; 35(3): 291-27.</w:t>
      </w:r>
    </w:p>
    <w:p w14:paraId="62B427F6" w14:textId="77777777" w:rsidR="00817793" w:rsidRDefault="002719FC">
      <w:pPr>
        <w:spacing w:before="120" w:after="120" w:line="240" w:lineRule="auto"/>
        <w:jc w:val="left"/>
        <w:rPr>
          <w:color w:val="000000"/>
          <w:sz w:val="20"/>
          <w:szCs w:val="20"/>
        </w:rPr>
      </w:pPr>
      <w:r>
        <w:rPr>
          <w:color w:val="000000"/>
          <w:sz w:val="20"/>
          <w:szCs w:val="20"/>
        </w:rPr>
        <w:t xml:space="preserve">Silva EN, Silva MT, </w:t>
      </w:r>
      <w:proofErr w:type="spellStart"/>
      <w:r>
        <w:rPr>
          <w:color w:val="000000"/>
          <w:sz w:val="20"/>
          <w:szCs w:val="20"/>
        </w:rPr>
        <w:t>Augustovski</w:t>
      </w:r>
      <w:proofErr w:type="spellEnd"/>
      <w:r>
        <w:rPr>
          <w:color w:val="000000"/>
          <w:sz w:val="20"/>
          <w:szCs w:val="20"/>
        </w:rPr>
        <w:t xml:space="preserve">, F, </w:t>
      </w:r>
      <w:proofErr w:type="spellStart"/>
      <w:r>
        <w:rPr>
          <w:color w:val="000000"/>
          <w:sz w:val="20"/>
          <w:szCs w:val="20"/>
        </w:rPr>
        <w:t>Husereau</w:t>
      </w:r>
      <w:proofErr w:type="spellEnd"/>
      <w:r>
        <w:rPr>
          <w:color w:val="000000"/>
          <w:sz w:val="20"/>
          <w:szCs w:val="20"/>
        </w:rPr>
        <w:t xml:space="preserve"> D, Pereira MG. Roteiro para relato de estudos de avaliação econômica. </w:t>
      </w:r>
      <w:proofErr w:type="spellStart"/>
      <w:r>
        <w:rPr>
          <w:color w:val="000000"/>
          <w:sz w:val="20"/>
          <w:szCs w:val="20"/>
        </w:rPr>
        <w:t>Epid.e</w:t>
      </w:r>
      <w:proofErr w:type="spellEnd"/>
      <w:r>
        <w:rPr>
          <w:color w:val="000000"/>
          <w:sz w:val="20"/>
          <w:szCs w:val="20"/>
        </w:rPr>
        <w:t xml:space="preserve"> Serv. de Saúde.2017 out-dez; 6(4): 895-898.</w:t>
      </w:r>
    </w:p>
    <w:p w14:paraId="05462A03" w14:textId="77777777" w:rsidR="00817793" w:rsidRDefault="002719FC">
      <w:pPr>
        <w:spacing w:before="120" w:after="120" w:line="240" w:lineRule="auto"/>
        <w:jc w:val="left"/>
        <w:rPr>
          <w:color w:val="000000"/>
          <w:sz w:val="20"/>
          <w:szCs w:val="20"/>
        </w:rPr>
      </w:pPr>
      <w:proofErr w:type="spellStart"/>
      <w:r>
        <w:rPr>
          <w:color w:val="000000"/>
          <w:sz w:val="20"/>
          <w:szCs w:val="20"/>
        </w:rPr>
        <w:t>Husereau</w:t>
      </w:r>
      <w:proofErr w:type="spellEnd"/>
      <w:r>
        <w:rPr>
          <w:color w:val="000000"/>
          <w:sz w:val="20"/>
          <w:szCs w:val="20"/>
        </w:rPr>
        <w:t xml:space="preserve"> D, Drummond M, Petrou S, </w:t>
      </w:r>
      <w:proofErr w:type="spellStart"/>
      <w:r>
        <w:rPr>
          <w:color w:val="000000"/>
          <w:sz w:val="20"/>
          <w:szCs w:val="20"/>
        </w:rPr>
        <w:t>Carswell</w:t>
      </w:r>
      <w:proofErr w:type="spellEnd"/>
      <w:r>
        <w:rPr>
          <w:color w:val="000000"/>
          <w:sz w:val="20"/>
          <w:szCs w:val="20"/>
        </w:rPr>
        <w:t xml:space="preserve"> C, </w:t>
      </w:r>
      <w:proofErr w:type="spellStart"/>
      <w:r>
        <w:rPr>
          <w:color w:val="000000"/>
          <w:sz w:val="20"/>
          <w:szCs w:val="20"/>
        </w:rPr>
        <w:t>Moher</w:t>
      </w:r>
      <w:proofErr w:type="spellEnd"/>
      <w:r>
        <w:rPr>
          <w:color w:val="000000"/>
          <w:sz w:val="20"/>
          <w:szCs w:val="20"/>
        </w:rPr>
        <w:t xml:space="preserve"> D, Greenberg D, et al. </w:t>
      </w:r>
      <w:proofErr w:type="spellStart"/>
      <w:r>
        <w:rPr>
          <w:color w:val="000000"/>
          <w:sz w:val="20"/>
          <w:szCs w:val="20"/>
        </w:rPr>
        <w:t>Consolidated</w:t>
      </w:r>
      <w:proofErr w:type="spellEnd"/>
      <w:r>
        <w:rPr>
          <w:color w:val="000000"/>
          <w:sz w:val="20"/>
          <w:szCs w:val="20"/>
        </w:rPr>
        <w:t xml:space="preserve"> Health Economic </w:t>
      </w:r>
      <w:proofErr w:type="spellStart"/>
      <w:r>
        <w:rPr>
          <w:color w:val="000000"/>
          <w:sz w:val="20"/>
          <w:szCs w:val="20"/>
        </w:rPr>
        <w:t>Evaluation</w:t>
      </w:r>
      <w:proofErr w:type="spellEnd"/>
      <w:r>
        <w:rPr>
          <w:color w:val="000000"/>
          <w:sz w:val="20"/>
          <w:szCs w:val="20"/>
        </w:rPr>
        <w:t xml:space="preserve"> </w:t>
      </w:r>
      <w:proofErr w:type="spellStart"/>
      <w:r>
        <w:rPr>
          <w:color w:val="000000"/>
          <w:sz w:val="20"/>
          <w:szCs w:val="20"/>
        </w:rPr>
        <w:t>Reporting</w:t>
      </w:r>
      <w:proofErr w:type="spellEnd"/>
      <w:r>
        <w:rPr>
          <w:color w:val="000000"/>
          <w:sz w:val="20"/>
          <w:szCs w:val="20"/>
        </w:rPr>
        <w:t xml:space="preserve"> Standards (CHEERS) - </w:t>
      </w:r>
      <w:proofErr w:type="spellStart"/>
      <w:r>
        <w:rPr>
          <w:color w:val="000000"/>
          <w:sz w:val="20"/>
          <w:szCs w:val="20"/>
        </w:rPr>
        <w:t>explanation</w:t>
      </w:r>
      <w:proofErr w:type="spellEnd"/>
      <w:r>
        <w:rPr>
          <w:color w:val="000000"/>
          <w:sz w:val="20"/>
          <w:szCs w:val="20"/>
        </w:rPr>
        <w:t xml:space="preserve"> </w:t>
      </w:r>
      <w:proofErr w:type="spellStart"/>
      <w:r>
        <w:rPr>
          <w:color w:val="000000"/>
          <w:sz w:val="20"/>
          <w:szCs w:val="20"/>
        </w:rPr>
        <w:t>and</w:t>
      </w:r>
      <w:proofErr w:type="spellEnd"/>
      <w:r>
        <w:rPr>
          <w:color w:val="000000"/>
          <w:sz w:val="20"/>
          <w:szCs w:val="20"/>
        </w:rPr>
        <w:t xml:space="preserve"> </w:t>
      </w:r>
      <w:proofErr w:type="spellStart"/>
      <w:r>
        <w:rPr>
          <w:color w:val="000000"/>
          <w:sz w:val="20"/>
          <w:szCs w:val="20"/>
        </w:rPr>
        <w:t>elaboration</w:t>
      </w:r>
      <w:proofErr w:type="spellEnd"/>
      <w:r>
        <w:rPr>
          <w:color w:val="000000"/>
          <w:sz w:val="20"/>
          <w:szCs w:val="20"/>
        </w:rPr>
        <w:t xml:space="preserve">: a </w:t>
      </w:r>
      <w:proofErr w:type="spellStart"/>
      <w:r>
        <w:rPr>
          <w:color w:val="000000"/>
          <w:sz w:val="20"/>
          <w:szCs w:val="20"/>
        </w:rPr>
        <w:t>report</w:t>
      </w:r>
      <w:proofErr w:type="spellEnd"/>
      <w:r>
        <w:rPr>
          <w:color w:val="000000"/>
          <w:sz w:val="20"/>
          <w:szCs w:val="20"/>
        </w:rPr>
        <w:t xml:space="preserve"> </w:t>
      </w:r>
      <w:proofErr w:type="spellStart"/>
      <w:r>
        <w:rPr>
          <w:color w:val="000000"/>
          <w:sz w:val="20"/>
          <w:szCs w:val="20"/>
        </w:rPr>
        <w:t>of</w:t>
      </w:r>
      <w:proofErr w:type="spellEnd"/>
      <w:r>
        <w:rPr>
          <w:color w:val="000000"/>
          <w:sz w:val="20"/>
          <w:szCs w:val="20"/>
        </w:rPr>
        <w:t xml:space="preserve"> </w:t>
      </w:r>
      <w:proofErr w:type="spellStart"/>
      <w:r>
        <w:rPr>
          <w:color w:val="000000"/>
          <w:sz w:val="20"/>
          <w:szCs w:val="20"/>
        </w:rPr>
        <w:t>the</w:t>
      </w:r>
      <w:proofErr w:type="spellEnd"/>
      <w:r>
        <w:rPr>
          <w:color w:val="000000"/>
          <w:sz w:val="20"/>
          <w:szCs w:val="20"/>
        </w:rPr>
        <w:t xml:space="preserve"> ISPOR Health Economic </w:t>
      </w:r>
      <w:proofErr w:type="spellStart"/>
      <w:r>
        <w:rPr>
          <w:color w:val="000000"/>
          <w:sz w:val="20"/>
          <w:szCs w:val="20"/>
        </w:rPr>
        <w:t>Evaluation</w:t>
      </w:r>
      <w:proofErr w:type="spellEnd"/>
      <w:r>
        <w:rPr>
          <w:color w:val="000000"/>
          <w:sz w:val="20"/>
          <w:szCs w:val="20"/>
        </w:rPr>
        <w:t xml:space="preserve"> </w:t>
      </w:r>
      <w:proofErr w:type="spellStart"/>
      <w:r>
        <w:rPr>
          <w:color w:val="000000"/>
          <w:sz w:val="20"/>
          <w:szCs w:val="20"/>
        </w:rPr>
        <w:t>Publication</w:t>
      </w:r>
      <w:proofErr w:type="spellEnd"/>
      <w:r>
        <w:rPr>
          <w:color w:val="000000"/>
          <w:sz w:val="20"/>
          <w:szCs w:val="20"/>
        </w:rPr>
        <w:t xml:space="preserve"> </w:t>
      </w:r>
      <w:proofErr w:type="spellStart"/>
      <w:r>
        <w:rPr>
          <w:color w:val="000000"/>
          <w:sz w:val="20"/>
          <w:szCs w:val="20"/>
        </w:rPr>
        <w:t>Guidelines</w:t>
      </w:r>
      <w:proofErr w:type="spellEnd"/>
      <w:r>
        <w:rPr>
          <w:color w:val="000000"/>
          <w:sz w:val="20"/>
          <w:szCs w:val="20"/>
        </w:rPr>
        <w:t xml:space="preserve"> </w:t>
      </w:r>
      <w:proofErr w:type="spellStart"/>
      <w:r>
        <w:rPr>
          <w:color w:val="000000"/>
          <w:sz w:val="20"/>
          <w:szCs w:val="20"/>
        </w:rPr>
        <w:t>Good</w:t>
      </w:r>
      <w:proofErr w:type="spellEnd"/>
      <w:r>
        <w:rPr>
          <w:color w:val="000000"/>
          <w:sz w:val="20"/>
          <w:szCs w:val="20"/>
        </w:rPr>
        <w:t xml:space="preserve"> </w:t>
      </w:r>
      <w:proofErr w:type="spellStart"/>
      <w:r>
        <w:rPr>
          <w:color w:val="000000"/>
          <w:sz w:val="20"/>
          <w:szCs w:val="20"/>
        </w:rPr>
        <w:t>Reporting</w:t>
      </w:r>
      <w:proofErr w:type="spellEnd"/>
      <w:r>
        <w:rPr>
          <w:color w:val="000000"/>
          <w:sz w:val="20"/>
          <w:szCs w:val="20"/>
        </w:rPr>
        <w:t xml:space="preserve"> </w:t>
      </w:r>
      <w:proofErr w:type="spellStart"/>
      <w:r>
        <w:rPr>
          <w:color w:val="000000"/>
          <w:sz w:val="20"/>
          <w:szCs w:val="20"/>
        </w:rPr>
        <w:t>Practices</w:t>
      </w:r>
      <w:proofErr w:type="spellEnd"/>
      <w:r>
        <w:rPr>
          <w:color w:val="000000"/>
          <w:sz w:val="20"/>
          <w:szCs w:val="20"/>
        </w:rPr>
        <w:t xml:space="preserve"> Task Force. </w:t>
      </w:r>
      <w:proofErr w:type="spellStart"/>
      <w:r>
        <w:rPr>
          <w:color w:val="000000"/>
          <w:sz w:val="20"/>
          <w:szCs w:val="20"/>
        </w:rPr>
        <w:t>Value</w:t>
      </w:r>
      <w:proofErr w:type="spellEnd"/>
      <w:r>
        <w:rPr>
          <w:color w:val="000000"/>
          <w:sz w:val="20"/>
          <w:szCs w:val="20"/>
        </w:rPr>
        <w:t xml:space="preserve"> Health. 2013; 16:231-50.</w:t>
      </w:r>
    </w:p>
    <w:p w14:paraId="62F015AF" w14:textId="77777777" w:rsidR="00817793" w:rsidRDefault="00817793">
      <w:pPr>
        <w:spacing w:before="120" w:after="120" w:line="240" w:lineRule="auto"/>
        <w:jc w:val="left"/>
        <w:rPr>
          <w:color w:val="000000"/>
          <w:sz w:val="20"/>
          <w:szCs w:val="20"/>
        </w:rPr>
      </w:pPr>
    </w:p>
    <w:p w14:paraId="1B15DD1D" w14:textId="77777777" w:rsidR="00817793" w:rsidRDefault="002719FC">
      <w:pPr>
        <w:spacing w:after="120" w:line="240" w:lineRule="auto"/>
        <w:jc w:val="left"/>
        <w:rPr>
          <w:b/>
          <w:color w:val="000000"/>
          <w:sz w:val="24"/>
          <w:szCs w:val="24"/>
        </w:rPr>
      </w:pPr>
      <w:r>
        <w:br w:type="page"/>
      </w:r>
    </w:p>
    <w:p w14:paraId="318CEAC5" w14:textId="77777777" w:rsidR="00817793" w:rsidRDefault="002719FC">
      <w:pPr>
        <w:spacing w:after="120" w:line="240" w:lineRule="auto"/>
        <w:jc w:val="left"/>
        <w:rPr>
          <w:b/>
          <w:color w:val="000000"/>
        </w:rPr>
      </w:pPr>
      <w:r>
        <w:rPr>
          <w:b/>
          <w:color w:val="000000"/>
        </w:rPr>
        <w:lastRenderedPageBreak/>
        <w:t>Justificativa para itens de verificação marcados como "Não" ou "Parcial" e observações gerais:</w:t>
      </w:r>
    </w:p>
    <w:tbl>
      <w:tblPr>
        <w:tblStyle w:val="affff3"/>
        <w:tblW w:w="13537" w:type="dxa"/>
        <w:tblInd w:w="-70" w:type="dxa"/>
        <w:tblLayout w:type="fixed"/>
        <w:tblLook w:val="0400" w:firstRow="0" w:lastRow="0" w:firstColumn="0" w:lastColumn="0" w:noHBand="0" w:noVBand="1"/>
      </w:tblPr>
      <w:tblGrid>
        <w:gridCol w:w="1271"/>
        <w:gridCol w:w="1701"/>
        <w:gridCol w:w="10565"/>
      </w:tblGrid>
      <w:tr w:rsidR="00817793" w14:paraId="0B495307" w14:textId="77777777">
        <w:trPr>
          <w:trHeight w:val="600"/>
        </w:trPr>
        <w:tc>
          <w:tcPr>
            <w:tcW w:w="127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6B20008" w14:textId="77777777" w:rsidR="00817793" w:rsidRDefault="002719FC">
            <w:pPr>
              <w:spacing w:before="120" w:after="120" w:line="240" w:lineRule="auto"/>
              <w:jc w:val="center"/>
              <w:rPr>
                <w:b/>
              </w:rPr>
            </w:pPr>
            <w:r>
              <w:rPr>
                <w:b/>
              </w:rPr>
              <w:t>Item</w:t>
            </w:r>
          </w:p>
        </w:tc>
        <w:tc>
          <w:tcPr>
            <w:tcW w:w="1701" w:type="dxa"/>
            <w:tcBorders>
              <w:top w:val="single" w:sz="4" w:space="0" w:color="000000"/>
              <w:left w:val="nil"/>
              <w:bottom w:val="single" w:sz="4" w:space="0" w:color="000000"/>
              <w:right w:val="single" w:sz="4" w:space="0" w:color="000000"/>
            </w:tcBorders>
            <w:shd w:val="clear" w:color="auto" w:fill="B4C6E7"/>
            <w:vAlign w:val="center"/>
          </w:tcPr>
          <w:p w14:paraId="685A7CEA" w14:textId="77777777" w:rsidR="00817793" w:rsidRDefault="002719FC">
            <w:pPr>
              <w:spacing w:before="120" w:after="120" w:line="240" w:lineRule="auto"/>
              <w:jc w:val="center"/>
              <w:rPr>
                <w:b/>
              </w:rPr>
            </w:pPr>
            <w:r>
              <w:rPr>
                <w:b/>
              </w:rPr>
              <w:t>Julgamento</w:t>
            </w:r>
          </w:p>
        </w:tc>
        <w:tc>
          <w:tcPr>
            <w:tcW w:w="10565" w:type="dxa"/>
            <w:tcBorders>
              <w:top w:val="single" w:sz="4" w:space="0" w:color="000000"/>
              <w:left w:val="nil"/>
              <w:bottom w:val="single" w:sz="4" w:space="0" w:color="000000"/>
              <w:right w:val="single" w:sz="4" w:space="0" w:color="000000"/>
            </w:tcBorders>
            <w:shd w:val="clear" w:color="auto" w:fill="B4C6E7"/>
            <w:vAlign w:val="center"/>
          </w:tcPr>
          <w:p w14:paraId="38405530" w14:textId="77777777" w:rsidR="00817793" w:rsidRDefault="002719FC">
            <w:pPr>
              <w:spacing w:before="120" w:after="120" w:line="240" w:lineRule="auto"/>
              <w:jc w:val="center"/>
              <w:rPr>
                <w:b/>
              </w:rPr>
            </w:pPr>
            <w:r>
              <w:rPr>
                <w:b/>
              </w:rPr>
              <w:t>Justificativas e observações</w:t>
            </w:r>
          </w:p>
        </w:tc>
      </w:tr>
      <w:tr w:rsidR="00817793" w14:paraId="12B56064"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F596" w14:textId="77777777" w:rsidR="00817793" w:rsidRDefault="002719FC">
            <w:pPr>
              <w:spacing w:before="120" w:after="120" w:line="240" w:lineRule="auto"/>
              <w:jc w:val="center"/>
            </w:pPr>
            <w:r>
              <w:t>2</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60306A4"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3F9F6B07" w14:textId="77777777" w:rsidR="00817793" w:rsidRDefault="002719FC">
            <w:pPr>
              <w:spacing w:before="120" w:after="120" w:line="276" w:lineRule="auto"/>
            </w:pPr>
            <w:r>
              <w:t xml:space="preserve">A população dos estudos empregados na análise não </w:t>
            </w:r>
            <w:r>
              <w:rPr>
                <w:highlight w:val="white"/>
              </w:rPr>
              <w:t xml:space="preserve">é representativa daquela de interesse </w:t>
            </w:r>
            <w:proofErr w:type="spellStart"/>
            <w:r>
              <w:rPr>
                <w:highlight w:val="white"/>
              </w:rPr>
              <w:t>na</w:t>
            </w:r>
            <w:proofErr w:type="spellEnd"/>
            <w:r>
              <w:rPr>
                <w:highlight w:val="white"/>
              </w:rPr>
              <w:t xml:space="preserve"> PICO e na DUT, uma vez que nem todos os indivíduos nesses estudos estão em terapia tripla ou em uso de </w:t>
            </w:r>
            <w:proofErr w:type="spellStart"/>
            <w:r>
              <w:rPr>
                <w:highlight w:val="white"/>
              </w:rPr>
              <w:t>corticosteróide</w:t>
            </w:r>
            <w:proofErr w:type="spellEnd"/>
            <w:r>
              <w:rPr>
                <w:highlight w:val="white"/>
              </w:rPr>
              <w:t xml:space="preserve"> na dose definida </w:t>
            </w:r>
            <w:r>
              <w:t>(prednisona ≥ 7,5 mg ou equivalente).</w:t>
            </w:r>
          </w:p>
        </w:tc>
      </w:tr>
      <w:tr w:rsidR="00817793" w14:paraId="0EBB4E01"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64D78" w14:textId="77777777" w:rsidR="00817793" w:rsidRDefault="002719FC">
            <w:pPr>
              <w:spacing w:before="120" w:after="120" w:line="240" w:lineRule="auto"/>
              <w:jc w:val="center"/>
            </w:pPr>
            <w:r>
              <w:t>4</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3962D654"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2FFE1089" w14:textId="77777777" w:rsidR="00817793" w:rsidRDefault="002719FC">
            <w:pPr>
              <w:spacing w:before="120" w:after="120" w:line="276" w:lineRule="auto"/>
            </w:pPr>
            <w:r>
              <w:t xml:space="preserve">Na proposta de utilização, o comparador corresponde a tratamento padrão com terapia tripla com hidroxicloroquina + corticosteroide (prednisona ≥ 7,5 mg ou equivalente) + um imunossupressor. Ciclofosfamida, que foi empregada </w:t>
            </w:r>
            <w:proofErr w:type="gramStart"/>
            <w:r>
              <w:t>no  modelo</w:t>
            </w:r>
            <w:proofErr w:type="gramEnd"/>
            <w:r>
              <w:t xml:space="preserve">, não é usada como imunossupressor na população-alvo. Quanto ao corticosteroide, o modelo considera que a maioria dos pacientes recebe dose inferior a 7,5 mg de prednisona ou equivalente, sendo que uma proporção considerável não recebe corticosteroide, o que diverge da PICO. </w:t>
            </w:r>
          </w:p>
        </w:tc>
      </w:tr>
      <w:tr w:rsidR="00817793" w14:paraId="6F7E3695"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A7AE" w14:textId="77777777" w:rsidR="00817793" w:rsidRDefault="002719FC">
            <w:pPr>
              <w:spacing w:before="120" w:after="120" w:line="240" w:lineRule="auto"/>
              <w:jc w:val="center"/>
            </w:pPr>
            <w:r>
              <w:t>6</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70D8B506"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6704CFCF" w14:textId="77777777" w:rsidR="00817793" w:rsidRDefault="002719FC">
            <w:pPr>
              <w:spacing w:before="120" w:after="120" w:line="240" w:lineRule="auto"/>
              <w:jc w:val="left"/>
            </w:pPr>
            <w:r>
              <w:t>Proponente justifica que o horizonte temporal de quarenta anos após o início do tratamento permite a inclusão de benefícios e custos para toda a vida (</w:t>
            </w:r>
            <w:proofErr w:type="spellStart"/>
            <w:r>
              <w:rPr>
                <w:i/>
              </w:rPr>
              <w:t>lifetime</w:t>
            </w:r>
            <w:proofErr w:type="spellEnd"/>
            <w:r>
              <w:t xml:space="preserve">). Esse racional é adequado apenas se considerarmos a premissa adotada pelo Proponente de que os indivíduos ingressam no modelo com 42 anos de idade. A população contemplada na proposta de submissão e na DUT compreende indivíduos a partir dos 18 anos de idade, e para essa população, o horizonte temporal de 40 anos não representa </w:t>
            </w:r>
            <w:proofErr w:type="spellStart"/>
            <w:r>
              <w:rPr>
                <w:i/>
              </w:rPr>
              <w:t>lifetime</w:t>
            </w:r>
            <w:proofErr w:type="spellEnd"/>
            <w:r>
              <w:rPr>
                <w:i/>
              </w:rPr>
              <w:t>.</w:t>
            </w:r>
          </w:p>
        </w:tc>
      </w:tr>
      <w:tr w:rsidR="00817793" w14:paraId="4112F78D"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C502F" w14:textId="77777777" w:rsidR="00817793" w:rsidRDefault="002719FC">
            <w:pPr>
              <w:spacing w:before="120" w:after="120" w:line="240" w:lineRule="auto"/>
              <w:jc w:val="center"/>
            </w:pPr>
            <w:r>
              <w:t>12</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3A7164C4" w14:textId="77777777" w:rsidR="00817793" w:rsidRDefault="002719FC">
            <w:pPr>
              <w:spacing w:before="120" w:after="120" w:line="240" w:lineRule="auto"/>
              <w:jc w:val="center"/>
            </w:pPr>
            <w:r>
              <w:t>Não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1BC8667A" w14:textId="77777777" w:rsidR="00817793" w:rsidRDefault="002719FC">
            <w:pPr>
              <w:spacing w:before="120" w:after="120" w:line="240" w:lineRule="auto"/>
              <w:jc w:val="left"/>
            </w:pPr>
            <w:r>
              <w:rPr>
                <w:highlight w:val="white"/>
              </w:rPr>
              <w:t xml:space="preserve">A abordagem adotada pelo proponente é inadequada para a perspectiva da saúde suplementar, ao considerar custo com terapia tripla, que são medicamentos orais, cujos custos são </w:t>
            </w:r>
            <w:r>
              <w:rPr>
                <w:i/>
                <w:highlight w:val="white"/>
              </w:rPr>
              <w:t xml:space="preserve">out </w:t>
            </w:r>
            <w:proofErr w:type="spellStart"/>
            <w:r>
              <w:rPr>
                <w:i/>
                <w:highlight w:val="white"/>
              </w:rPr>
              <w:t>of</w:t>
            </w:r>
            <w:proofErr w:type="spellEnd"/>
            <w:r>
              <w:rPr>
                <w:i/>
                <w:highlight w:val="white"/>
              </w:rPr>
              <w:t xml:space="preserve"> pocket</w:t>
            </w:r>
            <w:r>
              <w:rPr>
                <w:highlight w:val="white"/>
              </w:rPr>
              <w:t xml:space="preserve"> dos pacientes.</w:t>
            </w:r>
          </w:p>
        </w:tc>
      </w:tr>
      <w:tr w:rsidR="00817793" w14:paraId="6BBF900D"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384D1" w14:textId="77777777" w:rsidR="00817793" w:rsidRDefault="002719FC">
            <w:pPr>
              <w:spacing w:before="120" w:after="120" w:line="240" w:lineRule="auto"/>
              <w:jc w:val="center"/>
            </w:pPr>
            <w:r>
              <w:t>13</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140A5AFD"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52CAA1DC" w14:textId="77777777" w:rsidR="00817793" w:rsidRDefault="002719FC">
            <w:pPr>
              <w:spacing w:before="120" w:after="120" w:line="276" w:lineRule="auto"/>
              <w:rPr>
                <w:highlight w:val="white"/>
              </w:rPr>
            </w:pPr>
            <w:r>
              <w:rPr>
                <w:highlight w:val="white"/>
              </w:rPr>
              <w:t xml:space="preserve">Custos com consultas e exames estão adequados e em consonância com o PCDT de Lúpus Eritematoso Sistêmico do Ministério da Saúde. Os custos com eventos adversos foram estimados a partir da frequência da ocorrência desses eventos, que foi obtida de estudos com população divergente daquela de interesse </w:t>
            </w:r>
            <w:proofErr w:type="spellStart"/>
            <w:r>
              <w:rPr>
                <w:highlight w:val="white"/>
              </w:rPr>
              <w:t>na</w:t>
            </w:r>
            <w:proofErr w:type="spellEnd"/>
            <w:r>
              <w:rPr>
                <w:highlight w:val="white"/>
              </w:rPr>
              <w:t xml:space="preserve"> PICO e na DUT, uma vez que não estão em terapia tripla e nem todos estão em uso de </w:t>
            </w:r>
            <w:proofErr w:type="spellStart"/>
            <w:r>
              <w:rPr>
                <w:highlight w:val="white"/>
              </w:rPr>
              <w:t>corticosteróide</w:t>
            </w:r>
            <w:proofErr w:type="spellEnd"/>
            <w:r>
              <w:rPr>
                <w:highlight w:val="white"/>
              </w:rPr>
              <w:t xml:space="preserve"> na dose definida (prednisona ≥ 7,5 mg ou equivalente). Além disso, trata-se de uma população que apresenta comorbidades no </w:t>
            </w:r>
            <w:r>
              <w:rPr>
                <w:i/>
                <w:highlight w:val="white"/>
              </w:rPr>
              <w:t>baseline</w:t>
            </w:r>
            <w:r>
              <w:rPr>
                <w:highlight w:val="white"/>
              </w:rPr>
              <w:t xml:space="preserve">, e não há qualquer </w:t>
            </w:r>
            <w:r>
              <w:rPr>
                <w:highlight w:val="white"/>
              </w:rPr>
              <w:lastRenderedPageBreak/>
              <w:t xml:space="preserve">discussão sobre a possível relação entre os EA e essas comorbidades, bem como a relação de causalidade entre esses EA e as tecnologias sob investigação. Consideramos os custos com esses EA superestimados, uma vez que inclui custo com medicamentos orais, que não são custeados pela ANS, e há uma superestimativa dos números de consultas relacionadas a esses eventos, ao considerar um número estimado de consultas independentes para cada EA. Há falta de transparência e detalhamento sobre os dados de custo de hospitalização de pacientes com lúpus a partir de pesquisa dos códigos CID no D-TISS. A princípio se </w:t>
            </w:r>
            <w:proofErr w:type="gramStart"/>
            <w:r>
              <w:rPr>
                <w:highlight w:val="white"/>
              </w:rPr>
              <w:t>tratam</w:t>
            </w:r>
            <w:proofErr w:type="gramEnd"/>
            <w:r>
              <w:rPr>
                <w:highlight w:val="white"/>
              </w:rPr>
              <w:t xml:space="preserve"> de dados abertos D-TISS, porém métodos de extração e análise não foram apresentados. </w:t>
            </w:r>
            <w:proofErr w:type="gramStart"/>
            <w:r>
              <w:rPr>
                <w:highlight w:val="white"/>
              </w:rPr>
              <w:t>O mesmo</w:t>
            </w:r>
            <w:proofErr w:type="gramEnd"/>
            <w:r>
              <w:rPr>
                <w:highlight w:val="white"/>
              </w:rPr>
              <w:t xml:space="preserve"> se aplica para os custos com eventos SDI e óbitos.</w:t>
            </w:r>
          </w:p>
        </w:tc>
      </w:tr>
      <w:tr w:rsidR="00817793" w14:paraId="0D1AEEEE"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BF140" w14:textId="77777777" w:rsidR="00817793" w:rsidRDefault="002719FC">
            <w:pPr>
              <w:spacing w:before="120" w:after="120" w:line="240" w:lineRule="auto"/>
              <w:jc w:val="center"/>
            </w:pPr>
            <w:r>
              <w:t>16</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2BDBF254"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59EF9184" w14:textId="77777777" w:rsidR="00817793" w:rsidRDefault="002719FC">
            <w:pPr>
              <w:spacing w:before="120" w:after="120" w:line="276" w:lineRule="auto"/>
              <w:rPr>
                <w:highlight w:val="white"/>
              </w:rPr>
            </w:pPr>
            <w:r>
              <w:rPr>
                <w:highlight w:val="white"/>
              </w:rPr>
              <w:t xml:space="preserve">Consideramos adequada a abordagem </w:t>
            </w:r>
            <w:proofErr w:type="gramStart"/>
            <w:r>
              <w:rPr>
                <w:highlight w:val="white"/>
              </w:rPr>
              <w:t>de  interrupção</w:t>
            </w:r>
            <w:proofErr w:type="gramEnd"/>
            <w:r>
              <w:rPr>
                <w:highlight w:val="white"/>
              </w:rPr>
              <w:t xml:space="preserve"> do tratamento caso o desfecho desejado não seja atingido, em consonância com a proposta da DUT. Já com relação à premissa de extrapolação das probabilidades de transição a partir da semana 208, adotando-se um valor constante da semana 208 em diante, referente a média das probabilidades de transição observadas no estudo TULIP-LTE (52 a 208 semanas), </w:t>
            </w:r>
            <w:proofErr w:type="gramStart"/>
            <w:r>
              <w:rPr>
                <w:highlight w:val="white"/>
              </w:rPr>
              <w:t>o modelo falha</w:t>
            </w:r>
            <w:proofErr w:type="gramEnd"/>
            <w:r>
              <w:rPr>
                <w:highlight w:val="white"/>
              </w:rPr>
              <w:t xml:space="preserve"> em não apresentar justificativas ou discutir os impactos dessa premissa nos resultados.</w:t>
            </w:r>
          </w:p>
        </w:tc>
      </w:tr>
      <w:tr w:rsidR="00817793" w14:paraId="65342814"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F9E93" w14:textId="77777777" w:rsidR="00817793" w:rsidRDefault="002719FC">
            <w:pPr>
              <w:spacing w:before="120" w:after="120" w:line="240" w:lineRule="auto"/>
              <w:jc w:val="center"/>
            </w:pPr>
            <w:r>
              <w:t>17</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7C40E87D"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2A216B3E" w14:textId="77777777" w:rsidR="00817793" w:rsidRDefault="002719FC">
            <w:pPr>
              <w:spacing w:before="120" w:after="120" w:line="240" w:lineRule="auto"/>
              <w:jc w:val="left"/>
              <w:rPr>
                <w:highlight w:val="white"/>
              </w:rPr>
            </w:pPr>
            <w:r>
              <w:rPr>
                <w:highlight w:val="white"/>
              </w:rPr>
              <w:t xml:space="preserve">Modelagem e estados de saúde adequados para simular matematicamente o objeto da análise. No </w:t>
            </w:r>
            <w:proofErr w:type="spellStart"/>
            <w:proofErr w:type="gramStart"/>
            <w:r>
              <w:rPr>
                <w:highlight w:val="white"/>
              </w:rPr>
              <w:t>entanto,um</w:t>
            </w:r>
            <w:proofErr w:type="spellEnd"/>
            <w:proofErr w:type="gramEnd"/>
            <w:r>
              <w:rPr>
                <w:highlight w:val="white"/>
              </w:rPr>
              <w:t xml:space="preserve"> dos principais parâmetros do modelo, que é a porcentagem de pacientes que alcançam LLDAS a cada ciclo, não está descrito no dossiê. Esses dados estão disponíveis apenas na planilha, de maneira não consolidada.</w:t>
            </w:r>
          </w:p>
        </w:tc>
      </w:tr>
      <w:tr w:rsidR="00817793" w14:paraId="520FE319"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857E1" w14:textId="77777777" w:rsidR="00817793" w:rsidRDefault="002719FC">
            <w:pPr>
              <w:spacing w:before="120" w:after="120" w:line="240" w:lineRule="auto"/>
              <w:jc w:val="center"/>
            </w:pPr>
            <w:r>
              <w:t>18</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77021F25" w14:textId="77777777" w:rsidR="00817793" w:rsidRDefault="002719FC">
            <w:pPr>
              <w:spacing w:before="120" w:after="120" w:line="240" w:lineRule="auto"/>
              <w:jc w:val="center"/>
            </w:pPr>
            <w:r>
              <w:t>Inadequado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51FEB940" w14:textId="77777777" w:rsidR="00817793" w:rsidRDefault="002719FC">
            <w:pPr>
              <w:spacing w:before="120" w:after="120" w:line="240" w:lineRule="auto"/>
              <w:jc w:val="left"/>
              <w:rPr>
                <w:highlight w:val="white"/>
              </w:rPr>
            </w:pPr>
            <w:r>
              <w:rPr>
                <w:highlight w:val="white"/>
              </w:rPr>
              <w:t>O proponente, apesar de conduzir correção de meio-ciclo em sua análise, não faz qualquer menção a essa técnica no dossiê.</w:t>
            </w:r>
          </w:p>
        </w:tc>
      </w:tr>
      <w:tr w:rsidR="00817793" w14:paraId="4852CC73"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4D38D" w14:textId="77777777" w:rsidR="00817793" w:rsidRDefault="002719FC">
            <w:pPr>
              <w:spacing w:before="120" w:after="120" w:line="240" w:lineRule="auto"/>
              <w:jc w:val="center"/>
            </w:pPr>
            <w:r>
              <w:t>19</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05EB6733" w14:textId="77777777" w:rsidR="00817793" w:rsidRDefault="002719FC">
            <w:pPr>
              <w:spacing w:before="120" w:after="120" w:line="240" w:lineRule="auto"/>
              <w:jc w:val="center"/>
            </w:pPr>
            <w:r>
              <w:t>Inadequado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263059DE" w14:textId="77777777" w:rsidR="00817793" w:rsidRDefault="002719FC">
            <w:pPr>
              <w:spacing w:before="120" w:after="120" w:line="240" w:lineRule="auto"/>
              <w:jc w:val="left"/>
              <w:rPr>
                <w:highlight w:val="white"/>
              </w:rPr>
            </w:pPr>
            <w:r>
              <w:rPr>
                <w:highlight w:val="white"/>
              </w:rPr>
              <w:t>As estimativas de efetividade e custos incrementais e a RCUI descritos no dossiê refletem os erros e inconsistências da planilha. A RCEI não foi mencionada no dossiê. Após correções conduzidas pelos pareceristas, os valores finais obtidos foram de R$ 271.388,15/AVAQ e R$ 1.023.120,34/AVG, divergentes do apresentado no dossiê.</w:t>
            </w:r>
          </w:p>
        </w:tc>
      </w:tr>
      <w:tr w:rsidR="00817793" w14:paraId="2BDEC1A2"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81EC8" w14:textId="77777777" w:rsidR="00817793" w:rsidRDefault="002719FC">
            <w:pPr>
              <w:spacing w:before="120" w:after="120" w:line="240" w:lineRule="auto"/>
              <w:jc w:val="center"/>
            </w:pPr>
            <w:r>
              <w:t>22</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27DE6382" w14:textId="77777777" w:rsidR="00817793" w:rsidRDefault="002719FC">
            <w:pPr>
              <w:spacing w:before="120" w:after="120" w:line="240" w:lineRule="auto"/>
              <w:jc w:val="center"/>
            </w:pPr>
            <w:r>
              <w:t>Inadequado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2CE35D9C" w14:textId="77777777" w:rsidR="00817793" w:rsidRDefault="002719FC">
            <w:pPr>
              <w:spacing w:before="120" w:after="120" w:line="240" w:lineRule="auto"/>
              <w:jc w:val="left"/>
              <w:rPr>
                <w:highlight w:val="white"/>
              </w:rPr>
            </w:pPr>
            <w:r>
              <w:rPr>
                <w:highlight w:val="white"/>
              </w:rPr>
              <w:t>O dossiê não apresenta considerações sobre as limitações do modelo e suas implicações para os resultados obtidos. Não há discussão sobre a generalização dos resultados ou sua integração com o conhecimento já existente.</w:t>
            </w:r>
          </w:p>
        </w:tc>
      </w:tr>
      <w:tr w:rsidR="00817793" w14:paraId="68231B72"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23FB0" w14:textId="77777777" w:rsidR="00817793" w:rsidRDefault="002719FC">
            <w:pPr>
              <w:spacing w:before="120" w:after="120" w:line="240" w:lineRule="auto"/>
              <w:jc w:val="center"/>
            </w:pPr>
            <w:r>
              <w:lastRenderedPageBreak/>
              <w:t>24</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68F9DA86" w14:textId="77777777" w:rsidR="00817793" w:rsidRDefault="002719FC">
            <w:pPr>
              <w:spacing w:before="120" w:after="120" w:line="240" w:lineRule="auto"/>
              <w:jc w:val="center"/>
            </w:pPr>
            <w:r>
              <w:t>n/a</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615F874F" w14:textId="77777777" w:rsidR="00817793" w:rsidRDefault="002719FC">
            <w:pPr>
              <w:spacing w:before="120" w:after="120" w:line="240" w:lineRule="auto"/>
              <w:jc w:val="left"/>
            </w:pPr>
            <w:r>
              <w:t>A declaração de conflitos de interesse é objeto de análise pela ANS devido à proteção de dados confidenciais. O PARECERISTA não teve acesso ao documento.</w:t>
            </w:r>
          </w:p>
        </w:tc>
      </w:tr>
      <w:tr w:rsidR="00817793" w14:paraId="64490E65"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03047" w14:textId="77777777" w:rsidR="00817793" w:rsidRDefault="002719FC">
            <w:pPr>
              <w:spacing w:before="120" w:after="120" w:line="240" w:lineRule="auto"/>
              <w:jc w:val="center"/>
            </w:pPr>
            <w:r>
              <w:t>25</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27AB42A9"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79BF38C4" w14:textId="77777777" w:rsidR="00817793" w:rsidRDefault="002719FC">
            <w:pPr>
              <w:spacing w:before="120" w:after="120" w:line="240" w:lineRule="auto"/>
              <w:jc w:val="left"/>
            </w:pPr>
            <w:r>
              <w:t>A porcentagem de pacientes em LLDAS, a cada ciclo, está devidamente descrita na planilha, porém não corresponde aos dados dos estudos referenciados no dossiê. A ausência da referência a esses dados configura uma limitação importante em virtude da relevância desse parâmetro para a análise.</w:t>
            </w:r>
          </w:p>
        </w:tc>
      </w:tr>
      <w:tr w:rsidR="00817793" w14:paraId="6E2CE2CA"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B61C8" w14:textId="77777777" w:rsidR="00817793" w:rsidRDefault="002719FC">
            <w:pPr>
              <w:spacing w:before="120" w:after="120" w:line="240" w:lineRule="auto"/>
              <w:jc w:val="center"/>
            </w:pPr>
            <w:r>
              <w:t>26</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1EBDB1D3" w14:textId="77777777" w:rsidR="00817793" w:rsidRDefault="002719FC">
            <w:pPr>
              <w:spacing w:before="120" w:after="120" w:line="240" w:lineRule="auto"/>
              <w:jc w:val="center"/>
            </w:pPr>
            <w:r>
              <w:t>Parcialmente adequado</w:t>
            </w:r>
          </w:p>
        </w:tc>
        <w:tc>
          <w:tcPr>
            <w:tcW w:w="10565" w:type="dxa"/>
            <w:tcBorders>
              <w:top w:val="single" w:sz="4" w:space="0" w:color="000000"/>
              <w:left w:val="nil"/>
              <w:bottom w:val="single" w:sz="4" w:space="0" w:color="000000"/>
              <w:right w:val="single" w:sz="4" w:space="0" w:color="000000"/>
            </w:tcBorders>
            <w:shd w:val="clear" w:color="auto" w:fill="auto"/>
            <w:vAlign w:val="center"/>
          </w:tcPr>
          <w:p w14:paraId="38BB015D" w14:textId="77777777" w:rsidR="00817793" w:rsidRDefault="002719FC">
            <w:pPr>
              <w:spacing w:before="120" w:after="120" w:line="240" w:lineRule="auto"/>
              <w:jc w:val="left"/>
            </w:pPr>
            <w:r>
              <w:t xml:space="preserve">A planilha apresentou erro ao abrir, impedindo os cálculos da RCUI devido à falta de definição do nome da célula C33. Após a correção, o modelo funcionou corretamente. Também houve erros no cálculo da </w:t>
            </w:r>
            <w:proofErr w:type="spellStart"/>
            <w:r>
              <w:t>desutilidade</w:t>
            </w:r>
            <w:proofErr w:type="spellEnd"/>
            <w:r>
              <w:t xml:space="preserve"> nos traçados de Markov, e redundância no cálculo das </w:t>
            </w:r>
            <w:proofErr w:type="spellStart"/>
            <w:r>
              <w:t>desutilidades</w:t>
            </w:r>
            <w:proofErr w:type="spellEnd"/>
            <w:r>
              <w:t xml:space="preserve"> por eventos adversos em ambos os braços. O botão e a macro para a ASD não funcionaram.</w:t>
            </w:r>
          </w:p>
        </w:tc>
      </w:tr>
    </w:tbl>
    <w:p w14:paraId="2A0E34BA" w14:textId="77777777" w:rsidR="00817793" w:rsidRDefault="002719FC">
      <w:pPr>
        <w:spacing w:before="120" w:after="120" w:line="240" w:lineRule="auto"/>
        <w:jc w:val="left"/>
        <w:rPr>
          <w:b/>
          <w:color w:val="000000"/>
        </w:rPr>
      </w:pPr>
      <w:r>
        <w:rPr>
          <w:b/>
          <w:color w:val="000000"/>
        </w:rPr>
        <w:t>(inserir outras linhas se necessário)</w:t>
      </w:r>
    </w:p>
    <w:p w14:paraId="6E681184" w14:textId="77777777" w:rsidR="00817793" w:rsidRDefault="00817793"/>
    <w:p w14:paraId="230165FA" w14:textId="77777777" w:rsidR="00817793" w:rsidRDefault="00817793"/>
    <w:p w14:paraId="7CB33CA5" w14:textId="77777777" w:rsidR="00817793" w:rsidRDefault="00817793"/>
    <w:p w14:paraId="17414610" w14:textId="77777777" w:rsidR="00817793" w:rsidRDefault="00817793"/>
    <w:p w14:paraId="781DF2CB" w14:textId="77777777" w:rsidR="00817793" w:rsidRDefault="002719FC">
      <w:pPr>
        <w:spacing w:before="0" w:after="160" w:line="259" w:lineRule="auto"/>
        <w:jc w:val="left"/>
        <w:rPr>
          <w:b/>
        </w:rPr>
      </w:pPr>
      <w:r>
        <w:br w:type="page"/>
      </w:r>
    </w:p>
    <w:p w14:paraId="37E25F65" w14:textId="77777777" w:rsidR="00817793" w:rsidRDefault="002719FC">
      <w:pPr>
        <w:pStyle w:val="Ttulo5"/>
        <w:spacing w:before="0"/>
        <w:jc w:val="center"/>
        <w:rPr>
          <w:i w:val="0"/>
          <w:sz w:val="22"/>
          <w:szCs w:val="22"/>
        </w:rPr>
      </w:pPr>
      <w:bookmarkStart w:id="91" w:name="_rhb7ntioa320" w:colFirst="0" w:colLast="0"/>
      <w:bookmarkEnd w:id="91"/>
      <w:r>
        <w:rPr>
          <w:b/>
          <w:i w:val="0"/>
          <w:sz w:val="22"/>
          <w:szCs w:val="22"/>
        </w:rPr>
        <w:lastRenderedPageBreak/>
        <w:t xml:space="preserve">Anexo 2. </w:t>
      </w:r>
      <w:r>
        <w:rPr>
          <w:i w:val="0"/>
          <w:sz w:val="22"/>
          <w:szCs w:val="22"/>
        </w:rPr>
        <w:t>Checklist de análise crítica: Análise de impacto orçamentário de tecnologias em saúde no processo de atualização do Rol da ANS.</w:t>
      </w:r>
    </w:p>
    <w:tbl>
      <w:tblPr>
        <w:tblStyle w:val="affff4"/>
        <w:tblW w:w="13471" w:type="dxa"/>
        <w:jc w:val="center"/>
        <w:tblInd w:w="0" w:type="dxa"/>
        <w:tblLayout w:type="fixed"/>
        <w:tblLook w:val="0400" w:firstRow="0" w:lastRow="0" w:firstColumn="0" w:lastColumn="0" w:noHBand="0" w:noVBand="1"/>
      </w:tblPr>
      <w:tblGrid>
        <w:gridCol w:w="2233"/>
        <w:gridCol w:w="1134"/>
        <w:gridCol w:w="5959"/>
        <w:gridCol w:w="850"/>
        <w:gridCol w:w="851"/>
        <w:gridCol w:w="887"/>
        <w:gridCol w:w="814"/>
        <w:gridCol w:w="743"/>
      </w:tblGrid>
      <w:tr w:rsidR="00817793" w14:paraId="03A7D395" w14:textId="77777777">
        <w:trPr>
          <w:trHeight w:val="855"/>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0254A3CC" w14:textId="77777777" w:rsidR="00817793" w:rsidRDefault="002719FC">
            <w:pPr>
              <w:spacing w:before="120" w:after="120" w:line="240" w:lineRule="auto"/>
              <w:jc w:val="center"/>
              <w:rPr>
                <w:b/>
              </w:rPr>
            </w:pPr>
            <w:r>
              <w:rPr>
                <w:b/>
              </w:rPr>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0326D691" w14:textId="77777777" w:rsidR="00817793" w:rsidRDefault="002719FC">
            <w:pPr>
              <w:spacing w:before="120" w:after="120" w:line="240" w:lineRule="auto"/>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165D0C45" w14:textId="77777777" w:rsidR="00817793" w:rsidRDefault="002719FC">
            <w:pPr>
              <w:spacing w:before="120" w:after="120" w:line="240" w:lineRule="auto"/>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40A8FBB6" w14:textId="77777777" w:rsidR="00817793" w:rsidRDefault="002719FC">
            <w:pPr>
              <w:spacing w:before="120" w:after="120" w:line="240" w:lineRule="auto"/>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1E0A7383" w14:textId="77777777" w:rsidR="00817793" w:rsidRDefault="002719FC">
            <w:pPr>
              <w:spacing w:before="120" w:after="120" w:line="240" w:lineRule="auto"/>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73F4D76B" w14:textId="77777777" w:rsidR="00817793" w:rsidRDefault="002719FC">
            <w:pPr>
              <w:spacing w:before="120" w:after="120" w:line="240" w:lineRule="auto"/>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27316406" w14:textId="77777777" w:rsidR="00817793" w:rsidRDefault="002719FC">
            <w:pPr>
              <w:spacing w:before="120" w:after="120" w:line="240" w:lineRule="auto"/>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5F1A6077" w14:textId="77777777" w:rsidR="00817793" w:rsidRDefault="002719FC">
            <w:pPr>
              <w:spacing w:before="120" w:after="120" w:line="240" w:lineRule="auto"/>
              <w:jc w:val="center"/>
              <w:rPr>
                <w:b/>
              </w:rPr>
            </w:pPr>
            <w:proofErr w:type="spellStart"/>
            <w:r>
              <w:rPr>
                <w:b/>
              </w:rPr>
              <w:t>Pág.nº</w:t>
            </w:r>
            <w:proofErr w:type="spellEnd"/>
          </w:p>
        </w:tc>
      </w:tr>
      <w:tr w:rsidR="00817793" w14:paraId="1F811EE2" w14:textId="77777777">
        <w:trPr>
          <w:trHeight w:val="585"/>
          <w:jc w:val="center"/>
        </w:trPr>
        <w:tc>
          <w:tcPr>
            <w:tcW w:w="13471" w:type="dxa"/>
            <w:gridSpan w:val="8"/>
            <w:tcBorders>
              <w:top w:val="nil"/>
              <w:left w:val="single" w:sz="4" w:space="0" w:color="000000"/>
              <w:bottom w:val="single" w:sz="4" w:space="0" w:color="000000"/>
              <w:right w:val="single" w:sz="4" w:space="0" w:color="000000"/>
            </w:tcBorders>
            <w:shd w:val="clear" w:color="auto" w:fill="B4C6E7"/>
            <w:vAlign w:val="center"/>
          </w:tcPr>
          <w:p w14:paraId="758FC281" w14:textId="77777777" w:rsidR="00817793" w:rsidRDefault="002719FC">
            <w:pPr>
              <w:spacing w:before="120" w:after="120" w:line="240" w:lineRule="auto"/>
              <w:jc w:val="left"/>
              <w:rPr>
                <w:b/>
                <w:color w:val="000000"/>
              </w:rPr>
            </w:pPr>
            <w:r>
              <w:rPr>
                <w:b/>
                <w:color w:val="000000"/>
              </w:rPr>
              <w:t>Definições</w:t>
            </w:r>
          </w:p>
        </w:tc>
      </w:tr>
      <w:tr w:rsidR="00817793" w14:paraId="385C6DA3"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F2B2F4B" w14:textId="77777777" w:rsidR="00817793" w:rsidRDefault="002719FC">
            <w:pPr>
              <w:spacing w:before="120" w:after="120" w:line="240" w:lineRule="auto"/>
              <w:jc w:val="left"/>
            </w:pPr>
            <w:r>
              <w:t>Problema</w:t>
            </w:r>
          </w:p>
        </w:tc>
        <w:tc>
          <w:tcPr>
            <w:tcW w:w="1134" w:type="dxa"/>
            <w:tcBorders>
              <w:top w:val="nil"/>
              <w:left w:val="nil"/>
              <w:bottom w:val="single" w:sz="4" w:space="0" w:color="000000"/>
              <w:right w:val="single" w:sz="4" w:space="0" w:color="000000"/>
            </w:tcBorders>
            <w:shd w:val="clear" w:color="auto" w:fill="auto"/>
            <w:vAlign w:val="center"/>
          </w:tcPr>
          <w:p w14:paraId="19F14E3C" w14:textId="77777777" w:rsidR="00817793" w:rsidRDefault="002719FC">
            <w:pPr>
              <w:spacing w:before="120" w:after="120" w:line="240" w:lineRule="auto"/>
              <w:jc w:val="center"/>
              <w:rPr>
                <w:color w:val="000000"/>
              </w:rPr>
            </w:pPr>
            <w:r>
              <w:rPr>
                <w:color w:val="000000"/>
              </w:rPr>
              <w:t>1</w:t>
            </w:r>
          </w:p>
        </w:tc>
        <w:tc>
          <w:tcPr>
            <w:tcW w:w="5959" w:type="dxa"/>
            <w:tcBorders>
              <w:top w:val="nil"/>
              <w:left w:val="nil"/>
              <w:bottom w:val="single" w:sz="4" w:space="0" w:color="000000"/>
              <w:right w:val="single" w:sz="4" w:space="0" w:color="000000"/>
            </w:tcBorders>
            <w:shd w:val="clear" w:color="auto" w:fill="auto"/>
            <w:vAlign w:val="center"/>
          </w:tcPr>
          <w:p w14:paraId="262B6D29" w14:textId="77777777" w:rsidR="00817793" w:rsidRDefault="002719FC">
            <w:pPr>
              <w:spacing w:before="120" w:after="120" w:line="240" w:lineRule="auto"/>
              <w:jc w:val="left"/>
              <w:rPr>
                <w:color w:val="000000"/>
              </w:rPr>
            </w:pPr>
            <w:r>
              <w:rPr>
                <w:color w:val="000000"/>
              </w:rPr>
              <w:t>O problema de saúde para o qual se destina a intervenção avaliada é adequado e está descrito de forma clara.</w:t>
            </w:r>
          </w:p>
        </w:tc>
        <w:tc>
          <w:tcPr>
            <w:tcW w:w="850" w:type="dxa"/>
            <w:tcBorders>
              <w:top w:val="nil"/>
              <w:left w:val="nil"/>
              <w:bottom w:val="single" w:sz="4" w:space="0" w:color="000000"/>
              <w:right w:val="single" w:sz="4" w:space="0" w:color="000000"/>
            </w:tcBorders>
            <w:shd w:val="clear" w:color="auto" w:fill="auto"/>
            <w:vAlign w:val="center"/>
          </w:tcPr>
          <w:p w14:paraId="18F67DA1"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16788234"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57A6A0F0"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7DF0CA62"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4BA3426" w14:textId="77777777" w:rsidR="00817793" w:rsidRDefault="00817793">
            <w:pPr>
              <w:spacing w:before="120" w:after="120" w:line="240" w:lineRule="auto"/>
              <w:jc w:val="center"/>
              <w:rPr>
                <w:color w:val="000000"/>
              </w:rPr>
            </w:pPr>
          </w:p>
        </w:tc>
      </w:tr>
      <w:tr w:rsidR="00817793" w14:paraId="7FA02D6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6889E7B8" w14:textId="77777777" w:rsidR="00817793" w:rsidRDefault="002719FC">
            <w:pPr>
              <w:spacing w:before="120" w:after="120" w:line="240" w:lineRule="auto"/>
              <w:jc w:val="left"/>
              <w:rPr>
                <w:color w:val="000000"/>
              </w:rPr>
            </w:pPr>
            <w:r>
              <w:rPr>
                <w:color w:val="000000"/>
              </w:rPr>
              <w:t>População</w:t>
            </w:r>
          </w:p>
        </w:tc>
        <w:tc>
          <w:tcPr>
            <w:tcW w:w="1134" w:type="dxa"/>
            <w:tcBorders>
              <w:top w:val="nil"/>
              <w:left w:val="nil"/>
              <w:bottom w:val="single" w:sz="4" w:space="0" w:color="000000"/>
              <w:right w:val="single" w:sz="4" w:space="0" w:color="000000"/>
            </w:tcBorders>
            <w:shd w:val="clear" w:color="auto" w:fill="auto"/>
            <w:vAlign w:val="center"/>
          </w:tcPr>
          <w:p w14:paraId="2CC21B90" w14:textId="77777777" w:rsidR="00817793" w:rsidRDefault="002719FC">
            <w:pPr>
              <w:spacing w:before="120" w:after="120" w:line="240" w:lineRule="auto"/>
              <w:jc w:val="center"/>
              <w:rPr>
                <w:color w:val="000000"/>
              </w:rPr>
            </w:pPr>
            <w:r>
              <w:rPr>
                <w:color w:val="000000"/>
              </w:rPr>
              <w:t>2</w:t>
            </w:r>
          </w:p>
        </w:tc>
        <w:tc>
          <w:tcPr>
            <w:tcW w:w="5959" w:type="dxa"/>
            <w:tcBorders>
              <w:top w:val="nil"/>
              <w:left w:val="nil"/>
              <w:bottom w:val="single" w:sz="4" w:space="0" w:color="000000"/>
              <w:right w:val="single" w:sz="4" w:space="0" w:color="000000"/>
            </w:tcBorders>
            <w:shd w:val="clear" w:color="auto" w:fill="auto"/>
            <w:vAlign w:val="center"/>
          </w:tcPr>
          <w:p w14:paraId="0FE0BABD" w14:textId="77777777" w:rsidR="00817793" w:rsidRDefault="002719FC">
            <w:pPr>
              <w:spacing w:before="120" w:after="120" w:line="240" w:lineRule="auto"/>
              <w:jc w:val="left"/>
              <w:rPr>
                <w:color w:val="000000"/>
              </w:rPr>
            </w:pPr>
            <w:r>
              <w:rPr>
                <w:color w:val="000000"/>
              </w:rPr>
              <w:t>A população elegível para a AIO está concordante com a população abordada nas evidências apresentadas no PTC/RS e no formulário da proposta.</w:t>
            </w:r>
          </w:p>
        </w:tc>
        <w:tc>
          <w:tcPr>
            <w:tcW w:w="850" w:type="dxa"/>
            <w:tcBorders>
              <w:top w:val="nil"/>
              <w:left w:val="nil"/>
              <w:bottom w:val="single" w:sz="4" w:space="0" w:color="000000"/>
              <w:right w:val="single" w:sz="4" w:space="0" w:color="000000"/>
            </w:tcBorders>
            <w:shd w:val="clear" w:color="auto" w:fill="auto"/>
            <w:vAlign w:val="center"/>
          </w:tcPr>
          <w:p w14:paraId="175D53C2" w14:textId="77777777" w:rsidR="00817793" w:rsidRDefault="00817793">
            <w:pPr>
              <w:spacing w:before="120" w:after="120" w:line="240" w:lineRule="auto"/>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7DB1D1D4"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551937A" w14:textId="77777777" w:rsidR="00817793" w:rsidRDefault="002719FC">
            <w:pPr>
              <w:spacing w:before="120" w:after="120" w:line="240" w:lineRule="auto"/>
              <w:jc w:val="center"/>
              <w:rPr>
                <w:color w:val="000000"/>
              </w:rPr>
            </w:pPr>
            <w:r>
              <w:t>X</w:t>
            </w:r>
          </w:p>
        </w:tc>
        <w:tc>
          <w:tcPr>
            <w:tcW w:w="814" w:type="dxa"/>
            <w:tcBorders>
              <w:top w:val="nil"/>
              <w:left w:val="nil"/>
              <w:bottom w:val="single" w:sz="4" w:space="0" w:color="000000"/>
              <w:right w:val="single" w:sz="4" w:space="0" w:color="000000"/>
            </w:tcBorders>
            <w:shd w:val="clear" w:color="auto" w:fill="auto"/>
            <w:vAlign w:val="center"/>
          </w:tcPr>
          <w:p w14:paraId="0841E4F5"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711A9A35" w14:textId="77777777" w:rsidR="00817793" w:rsidRDefault="00817793">
            <w:pPr>
              <w:spacing w:before="120" w:after="120" w:line="240" w:lineRule="auto"/>
              <w:jc w:val="center"/>
              <w:rPr>
                <w:color w:val="000000"/>
              </w:rPr>
            </w:pPr>
          </w:p>
        </w:tc>
      </w:tr>
      <w:tr w:rsidR="00817793" w14:paraId="04E0981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5896AA5B" w14:textId="77777777" w:rsidR="00817793" w:rsidRDefault="002719FC">
            <w:pPr>
              <w:spacing w:before="120" w:after="120" w:line="240" w:lineRule="auto"/>
              <w:jc w:val="left"/>
              <w:rPr>
                <w:color w:val="000000"/>
              </w:rPr>
            </w:pPr>
            <w:r>
              <w:rPr>
                <w:color w:val="000000"/>
              </w:rPr>
              <w:t>Tecnologia</w:t>
            </w:r>
          </w:p>
        </w:tc>
        <w:tc>
          <w:tcPr>
            <w:tcW w:w="1134" w:type="dxa"/>
            <w:tcBorders>
              <w:top w:val="nil"/>
              <w:left w:val="nil"/>
              <w:bottom w:val="single" w:sz="4" w:space="0" w:color="000000"/>
              <w:right w:val="single" w:sz="4" w:space="0" w:color="000000"/>
            </w:tcBorders>
            <w:shd w:val="clear" w:color="auto" w:fill="auto"/>
            <w:vAlign w:val="center"/>
          </w:tcPr>
          <w:p w14:paraId="7A036E3D" w14:textId="77777777" w:rsidR="00817793" w:rsidRDefault="002719FC">
            <w:pPr>
              <w:spacing w:before="120" w:after="120" w:line="240" w:lineRule="auto"/>
              <w:jc w:val="center"/>
              <w:rPr>
                <w:color w:val="000000"/>
              </w:rPr>
            </w:pPr>
            <w:r>
              <w:rPr>
                <w:color w:val="000000"/>
              </w:rPr>
              <w:t>3</w:t>
            </w:r>
          </w:p>
        </w:tc>
        <w:tc>
          <w:tcPr>
            <w:tcW w:w="5959" w:type="dxa"/>
            <w:tcBorders>
              <w:top w:val="nil"/>
              <w:left w:val="nil"/>
              <w:bottom w:val="single" w:sz="4" w:space="0" w:color="000000"/>
              <w:right w:val="single" w:sz="4" w:space="0" w:color="000000"/>
            </w:tcBorders>
            <w:shd w:val="clear" w:color="auto" w:fill="auto"/>
            <w:vAlign w:val="center"/>
          </w:tcPr>
          <w:p w14:paraId="209505BC" w14:textId="77777777" w:rsidR="00817793" w:rsidRDefault="002719FC">
            <w:pPr>
              <w:spacing w:before="120" w:after="120" w:line="240" w:lineRule="auto"/>
              <w:jc w:val="left"/>
              <w:rPr>
                <w:color w:val="000000"/>
              </w:rPr>
            </w:pPr>
            <w:r>
              <w:rPr>
                <w:color w:val="000000"/>
              </w:rPr>
              <w:t>A tecnologia em saúde é apresentada de forma clara e adequada (doses, tempo de uso etc.).</w:t>
            </w:r>
          </w:p>
        </w:tc>
        <w:tc>
          <w:tcPr>
            <w:tcW w:w="850" w:type="dxa"/>
            <w:tcBorders>
              <w:top w:val="nil"/>
              <w:left w:val="nil"/>
              <w:bottom w:val="single" w:sz="4" w:space="0" w:color="000000"/>
              <w:right w:val="single" w:sz="4" w:space="0" w:color="000000"/>
            </w:tcBorders>
            <w:shd w:val="clear" w:color="auto" w:fill="auto"/>
            <w:vAlign w:val="center"/>
          </w:tcPr>
          <w:p w14:paraId="540B4049"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EE333D4"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0D6BC734"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34A104AC"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114B4F84" w14:textId="77777777" w:rsidR="00817793" w:rsidRDefault="00817793">
            <w:pPr>
              <w:spacing w:before="120" w:after="120" w:line="240" w:lineRule="auto"/>
              <w:jc w:val="center"/>
              <w:rPr>
                <w:color w:val="000000"/>
              </w:rPr>
            </w:pPr>
          </w:p>
        </w:tc>
      </w:tr>
      <w:tr w:rsidR="00817793" w14:paraId="28F7059B"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129ABAF1" w14:textId="77777777" w:rsidR="00817793" w:rsidRDefault="002719FC">
            <w:pPr>
              <w:spacing w:before="120" w:after="120" w:line="240" w:lineRule="auto"/>
              <w:jc w:val="left"/>
              <w:rPr>
                <w:color w:val="000000"/>
              </w:rPr>
            </w:pPr>
            <w:r>
              <w:rPr>
                <w:color w:val="000000"/>
              </w:rPr>
              <w:t>Comparadores</w:t>
            </w:r>
          </w:p>
        </w:tc>
        <w:tc>
          <w:tcPr>
            <w:tcW w:w="1134" w:type="dxa"/>
            <w:tcBorders>
              <w:top w:val="nil"/>
              <w:left w:val="nil"/>
              <w:bottom w:val="single" w:sz="4" w:space="0" w:color="000000"/>
              <w:right w:val="single" w:sz="4" w:space="0" w:color="000000"/>
            </w:tcBorders>
            <w:shd w:val="clear" w:color="auto" w:fill="auto"/>
            <w:vAlign w:val="center"/>
          </w:tcPr>
          <w:p w14:paraId="17310F6F" w14:textId="77777777" w:rsidR="00817793" w:rsidRDefault="002719FC">
            <w:pPr>
              <w:spacing w:before="120" w:after="120" w:line="240" w:lineRule="auto"/>
              <w:jc w:val="center"/>
              <w:rPr>
                <w:color w:val="000000"/>
              </w:rPr>
            </w:pPr>
            <w:r>
              <w:rPr>
                <w:color w:val="000000"/>
              </w:rPr>
              <w:t>4</w:t>
            </w:r>
          </w:p>
        </w:tc>
        <w:tc>
          <w:tcPr>
            <w:tcW w:w="5959" w:type="dxa"/>
            <w:tcBorders>
              <w:top w:val="nil"/>
              <w:left w:val="nil"/>
              <w:bottom w:val="single" w:sz="4" w:space="0" w:color="000000"/>
              <w:right w:val="single" w:sz="4" w:space="0" w:color="000000"/>
            </w:tcBorders>
            <w:shd w:val="clear" w:color="auto" w:fill="auto"/>
            <w:vAlign w:val="center"/>
          </w:tcPr>
          <w:p w14:paraId="2BF8FD99" w14:textId="77777777" w:rsidR="00817793" w:rsidRDefault="002719FC">
            <w:pPr>
              <w:spacing w:before="120" w:after="120" w:line="240" w:lineRule="auto"/>
              <w:jc w:val="left"/>
              <w:rPr>
                <w:color w:val="000000"/>
              </w:rPr>
            </w:pPr>
            <w:r>
              <w:rPr>
                <w:color w:val="000000"/>
              </w:rPr>
              <w:t>Os comparadores apresentados são adequados e relevantes para a saúde suplementar e estão descritos de forma clara.</w:t>
            </w:r>
          </w:p>
        </w:tc>
        <w:tc>
          <w:tcPr>
            <w:tcW w:w="850" w:type="dxa"/>
            <w:tcBorders>
              <w:top w:val="nil"/>
              <w:left w:val="nil"/>
              <w:bottom w:val="single" w:sz="4" w:space="0" w:color="000000"/>
              <w:right w:val="single" w:sz="4" w:space="0" w:color="000000"/>
            </w:tcBorders>
            <w:shd w:val="clear" w:color="auto" w:fill="auto"/>
            <w:vAlign w:val="center"/>
          </w:tcPr>
          <w:p w14:paraId="2FC106A0"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1AABDC09"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3F82752B"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6CA203BD"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1EEB5C65" w14:textId="77777777" w:rsidR="00817793" w:rsidRDefault="00817793">
            <w:pPr>
              <w:spacing w:before="120" w:after="120" w:line="240" w:lineRule="auto"/>
              <w:jc w:val="center"/>
              <w:rPr>
                <w:color w:val="000000"/>
              </w:rPr>
            </w:pPr>
          </w:p>
        </w:tc>
      </w:tr>
      <w:tr w:rsidR="00817793" w14:paraId="0B781973"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372C445A" w14:textId="77777777" w:rsidR="00817793" w:rsidRDefault="002719FC">
            <w:pPr>
              <w:spacing w:before="120" w:after="120" w:line="240" w:lineRule="auto"/>
              <w:jc w:val="left"/>
              <w:rPr>
                <w:color w:val="000000"/>
              </w:rPr>
            </w:pPr>
            <w:r>
              <w:rPr>
                <w:color w:val="000000"/>
              </w:rPr>
              <w:t>Perspectiva da análise</w:t>
            </w:r>
          </w:p>
        </w:tc>
        <w:tc>
          <w:tcPr>
            <w:tcW w:w="1134" w:type="dxa"/>
            <w:tcBorders>
              <w:top w:val="nil"/>
              <w:left w:val="nil"/>
              <w:bottom w:val="single" w:sz="4" w:space="0" w:color="000000"/>
              <w:right w:val="single" w:sz="4" w:space="0" w:color="000000"/>
            </w:tcBorders>
            <w:shd w:val="clear" w:color="auto" w:fill="auto"/>
            <w:vAlign w:val="center"/>
          </w:tcPr>
          <w:p w14:paraId="76DB90EB" w14:textId="77777777" w:rsidR="00817793" w:rsidRDefault="002719FC">
            <w:pPr>
              <w:spacing w:before="120" w:after="120" w:line="240" w:lineRule="auto"/>
              <w:jc w:val="center"/>
              <w:rPr>
                <w:color w:val="000000"/>
              </w:rPr>
            </w:pPr>
            <w:r>
              <w:rPr>
                <w:color w:val="000000"/>
              </w:rPr>
              <w:t>5</w:t>
            </w:r>
          </w:p>
        </w:tc>
        <w:tc>
          <w:tcPr>
            <w:tcW w:w="5959" w:type="dxa"/>
            <w:tcBorders>
              <w:top w:val="nil"/>
              <w:left w:val="nil"/>
              <w:bottom w:val="single" w:sz="4" w:space="0" w:color="000000"/>
              <w:right w:val="single" w:sz="4" w:space="0" w:color="000000"/>
            </w:tcBorders>
            <w:shd w:val="clear" w:color="auto" w:fill="auto"/>
            <w:vAlign w:val="center"/>
          </w:tcPr>
          <w:p w14:paraId="5ECE89B2" w14:textId="77777777" w:rsidR="00817793" w:rsidRDefault="002719FC">
            <w:pPr>
              <w:spacing w:before="120" w:after="120" w:line="240" w:lineRule="auto"/>
              <w:jc w:val="left"/>
              <w:rPr>
                <w:color w:val="000000"/>
              </w:rPr>
            </w:pPr>
            <w:r>
              <w:rPr>
                <w:color w:val="000000"/>
              </w:rPr>
              <w:t>A perspectiva da saúde suplementar é adotada e apresentada de forma clara, contendo justificativa.</w:t>
            </w:r>
          </w:p>
        </w:tc>
        <w:tc>
          <w:tcPr>
            <w:tcW w:w="850" w:type="dxa"/>
            <w:tcBorders>
              <w:top w:val="nil"/>
              <w:left w:val="nil"/>
              <w:bottom w:val="single" w:sz="4" w:space="0" w:color="000000"/>
              <w:right w:val="single" w:sz="4" w:space="0" w:color="000000"/>
            </w:tcBorders>
            <w:shd w:val="clear" w:color="auto" w:fill="auto"/>
            <w:vAlign w:val="center"/>
          </w:tcPr>
          <w:p w14:paraId="0BF38BBE"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27EFE50A"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4D1216F"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3517F98F"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4223B45" w14:textId="77777777" w:rsidR="00817793" w:rsidRDefault="00817793">
            <w:pPr>
              <w:spacing w:before="120" w:after="120" w:line="240" w:lineRule="auto"/>
              <w:jc w:val="center"/>
              <w:rPr>
                <w:color w:val="000000"/>
              </w:rPr>
            </w:pPr>
          </w:p>
        </w:tc>
      </w:tr>
      <w:tr w:rsidR="00817793" w14:paraId="0B317F7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58137285" w14:textId="77777777" w:rsidR="00817793" w:rsidRDefault="002719FC">
            <w:pPr>
              <w:spacing w:before="120" w:after="120" w:line="240" w:lineRule="auto"/>
              <w:jc w:val="left"/>
              <w:rPr>
                <w:color w:val="000000"/>
              </w:rPr>
            </w:pPr>
            <w:r>
              <w:rPr>
                <w:color w:val="000000"/>
              </w:rPr>
              <w:t>Horizonte temporal</w:t>
            </w:r>
          </w:p>
        </w:tc>
        <w:tc>
          <w:tcPr>
            <w:tcW w:w="1134" w:type="dxa"/>
            <w:tcBorders>
              <w:top w:val="nil"/>
              <w:left w:val="nil"/>
              <w:bottom w:val="single" w:sz="4" w:space="0" w:color="000000"/>
              <w:right w:val="single" w:sz="4" w:space="0" w:color="000000"/>
            </w:tcBorders>
            <w:shd w:val="clear" w:color="auto" w:fill="auto"/>
            <w:vAlign w:val="center"/>
          </w:tcPr>
          <w:p w14:paraId="6DDB914C" w14:textId="77777777" w:rsidR="00817793" w:rsidRDefault="002719FC">
            <w:pPr>
              <w:spacing w:before="120" w:after="120" w:line="240" w:lineRule="auto"/>
              <w:jc w:val="center"/>
              <w:rPr>
                <w:color w:val="000000"/>
              </w:rPr>
            </w:pPr>
            <w:r>
              <w:rPr>
                <w:color w:val="000000"/>
              </w:rPr>
              <w:t>6</w:t>
            </w:r>
          </w:p>
        </w:tc>
        <w:tc>
          <w:tcPr>
            <w:tcW w:w="5959" w:type="dxa"/>
            <w:tcBorders>
              <w:top w:val="nil"/>
              <w:left w:val="nil"/>
              <w:bottom w:val="single" w:sz="4" w:space="0" w:color="000000"/>
              <w:right w:val="single" w:sz="4" w:space="0" w:color="000000"/>
            </w:tcBorders>
            <w:shd w:val="clear" w:color="auto" w:fill="auto"/>
            <w:vAlign w:val="center"/>
          </w:tcPr>
          <w:p w14:paraId="350CE544" w14:textId="77777777" w:rsidR="00817793" w:rsidRDefault="002719FC">
            <w:pPr>
              <w:spacing w:before="120" w:after="120" w:line="240" w:lineRule="auto"/>
              <w:jc w:val="left"/>
              <w:rPr>
                <w:color w:val="000000"/>
              </w:rPr>
            </w:pPr>
            <w:r>
              <w:rPr>
                <w:color w:val="000000"/>
              </w:rPr>
              <w:t>O horizonte temporal para custos e desfechos é adequado (5 anos)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3726491C"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539CD7A1"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6A9A2604" w14:textId="77777777" w:rsidR="00817793" w:rsidRDefault="00817793">
            <w:pPr>
              <w:spacing w:before="120" w:after="120" w:line="240" w:lineRule="auto"/>
              <w:jc w:val="center"/>
              <w:rPr>
                <w:color w:val="000000"/>
                <w:sz w:val="20"/>
                <w:szCs w:val="20"/>
              </w:rPr>
            </w:pPr>
          </w:p>
        </w:tc>
        <w:tc>
          <w:tcPr>
            <w:tcW w:w="814" w:type="dxa"/>
            <w:tcBorders>
              <w:top w:val="nil"/>
              <w:left w:val="nil"/>
              <w:bottom w:val="single" w:sz="4" w:space="0" w:color="000000"/>
              <w:right w:val="single" w:sz="4" w:space="0" w:color="000000"/>
            </w:tcBorders>
            <w:shd w:val="clear" w:color="auto" w:fill="auto"/>
            <w:vAlign w:val="center"/>
          </w:tcPr>
          <w:p w14:paraId="3DD220FA"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7B186A81" w14:textId="77777777" w:rsidR="00817793" w:rsidRDefault="00817793">
            <w:pPr>
              <w:spacing w:before="120" w:after="120" w:line="240" w:lineRule="auto"/>
              <w:jc w:val="center"/>
              <w:rPr>
                <w:color w:val="000000"/>
              </w:rPr>
            </w:pPr>
          </w:p>
        </w:tc>
      </w:tr>
    </w:tbl>
    <w:p w14:paraId="4F24943C" w14:textId="77777777" w:rsidR="00817793" w:rsidRDefault="002719FC">
      <w:r>
        <w:br w:type="page"/>
      </w:r>
    </w:p>
    <w:tbl>
      <w:tblPr>
        <w:tblStyle w:val="affff5"/>
        <w:tblW w:w="13471" w:type="dxa"/>
        <w:jc w:val="center"/>
        <w:tblInd w:w="0" w:type="dxa"/>
        <w:tblLayout w:type="fixed"/>
        <w:tblLook w:val="0400" w:firstRow="0" w:lastRow="0" w:firstColumn="0" w:lastColumn="0" w:noHBand="0" w:noVBand="1"/>
      </w:tblPr>
      <w:tblGrid>
        <w:gridCol w:w="2233"/>
        <w:gridCol w:w="1134"/>
        <w:gridCol w:w="5959"/>
        <w:gridCol w:w="850"/>
        <w:gridCol w:w="851"/>
        <w:gridCol w:w="887"/>
        <w:gridCol w:w="814"/>
        <w:gridCol w:w="743"/>
      </w:tblGrid>
      <w:tr w:rsidR="00817793" w14:paraId="4CA56CE9" w14:textId="77777777">
        <w:trPr>
          <w:trHeight w:val="855"/>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924FA1A" w14:textId="77777777" w:rsidR="00817793" w:rsidRDefault="002719FC">
            <w:pPr>
              <w:spacing w:before="120" w:after="120" w:line="240" w:lineRule="auto"/>
              <w:jc w:val="center"/>
              <w:rPr>
                <w:b/>
              </w:rPr>
            </w:pPr>
            <w:r>
              <w:rPr>
                <w:b/>
              </w:rPr>
              <w:lastRenderedPageBreak/>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153CA365" w14:textId="77777777" w:rsidR="00817793" w:rsidRDefault="002719FC">
            <w:pPr>
              <w:spacing w:before="120" w:after="120" w:line="240" w:lineRule="auto"/>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629071B2" w14:textId="77777777" w:rsidR="00817793" w:rsidRDefault="002719FC">
            <w:pPr>
              <w:spacing w:before="120" w:after="120" w:line="240" w:lineRule="auto"/>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1C56E909" w14:textId="77777777" w:rsidR="00817793" w:rsidRDefault="002719FC">
            <w:pPr>
              <w:spacing w:before="120" w:after="120" w:line="240" w:lineRule="auto"/>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58DCCB64" w14:textId="77777777" w:rsidR="00817793" w:rsidRDefault="002719FC">
            <w:pPr>
              <w:spacing w:before="120" w:after="120" w:line="240" w:lineRule="auto"/>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3F59EB38" w14:textId="77777777" w:rsidR="00817793" w:rsidRDefault="002719FC">
            <w:pPr>
              <w:spacing w:before="120" w:after="120" w:line="240" w:lineRule="auto"/>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58D527FB" w14:textId="77777777" w:rsidR="00817793" w:rsidRDefault="002719FC">
            <w:pPr>
              <w:spacing w:before="120" w:after="120" w:line="240" w:lineRule="auto"/>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096536AA" w14:textId="77777777" w:rsidR="00817793" w:rsidRDefault="002719FC">
            <w:pPr>
              <w:spacing w:before="120" w:after="120" w:line="240" w:lineRule="auto"/>
              <w:jc w:val="center"/>
              <w:rPr>
                <w:b/>
              </w:rPr>
            </w:pPr>
            <w:proofErr w:type="spellStart"/>
            <w:r>
              <w:rPr>
                <w:b/>
              </w:rPr>
              <w:t>Pág.nº</w:t>
            </w:r>
            <w:proofErr w:type="spellEnd"/>
          </w:p>
        </w:tc>
      </w:tr>
      <w:tr w:rsidR="00817793" w14:paraId="5824B18F"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4596111D" w14:textId="77777777" w:rsidR="00817793" w:rsidRDefault="002719FC">
            <w:pPr>
              <w:spacing w:before="120" w:after="120" w:line="240" w:lineRule="auto"/>
              <w:jc w:val="left"/>
              <w:rPr>
                <w:b/>
              </w:rPr>
            </w:pPr>
            <w:r>
              <w:rPr>
                <w:b/>
              </w:rPr>
              <w:t>Cenários</w:t>
            </w:r>
          </w:p>
        </w:tc>
      </w:tr>
      <w:tr w:rsidR="00817793" w14:paraId="6532FDF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1761CD27" w14:textId="77777777" w:rsidR="00817793" w:rsidRDefault="002719FC">
            <w:pPr>
              <w:spacing w:before="120" w:after="120" w:line="240" w:lineRule="auto"/>
              <w:jc w:val="left"/>
              <w:rPr>
                <w:color w:val="000000"/>
              </w:rPr>
            </w:pPr>
            <w:r>
              <w:rPr>
                <w:color w:val="000000"/>
              </w:rPr>
              <w:t>Quotas de mercado</w:t>
            </w:r>
          </w:p>
        </w:tc>
        <w:tc>
          <w:tcPr>
            <w:tcW w:w="1134" w:type="dxa"/>
            <w:tcBorders>
              <w:top w:val="nil"/>
              <w:left w:val="nil"/>
              <w:bottom w:val="single" w:sz="4" w:space="0" w:color="000000"/>
              <w:right w:val="single" w:sz="4" w:space="0" w:color="000000"/>
            </w:tcBorders>
            <w:shd w:val="clear" w:color="auto" w:fill="auto"/>
            <w:vAlign w:val="center"/>
          </w:tcPr>
          <w:p w14:paraId="6F74D8FD" w14:textId="77777777" w:rsidR="00817793" w:rsidRDefault="002719FC">
            <w:pPr>
              <w:spacing w:before="120" w:after="120" w:line="240" w:lineRule="auto"/>
              <w:jc w:val="center"/>
              <w:rPr>
                <w:color w:val="000000"/>
              </w:rPr>
            </w:pPr>
            <w:r>
              <w:rPr>
                <w:color w:val="000000"/>
              </w:rPr>
              <w:t>7</w:t>
            </w:r>
          </w:p>
        </w:tc>
        <w:tc>
          <w:tcPr>
            <w:tcW w:w="5959" w:type="dxa"/>
            <w:tcBorders>
              <w:top w:val="nil"/>
              <w:left w:val="nil"/>
              <w:bottom w:val="single" w:sz="4" w:space="0" w:color="000000"/>
              <w:right w:val="single" w:sz="4" w:space="0" w:color="000000"/>
            </w:tcBorders>
            <w:shd w:val="clear" w:color="auto" w:fill="auto"/>
            <w:vAlign w:val="center"/>
          </w:tcPr>
          <w:p w14:paraId="658BAF65" w14:textId="77777777" w:rsidR="00817793" w:rsidRDefault="002719FC">
            <w:pPr>
              <w:spacing w:before="120" w:after="120" w:line="240" w:lineRule="auto"/>
              <w:jc w:val="left"/>
              <w:rPr>
                <w:color w:val="000000"/>
              </w:rPr>
            </w:pPr>
            <w:r>
              <w:rPr>
                <w:color w:val="000000"/>
              </w:rPr>
              <w:t>A estimativa de quotas de mercado é factível e apresentada de forma clara, contendo justificativa.</w:t>
            </w:r>
          </w:p>
        </w:tc>
        <w:tc>
          <w:tcPr>
            <w:tcW w:w="850" w:type="dxa"/>
            <w:tcBorders>
              <w:top w:val="nil"/>
              <w:left w:val="nil"/>
              <w:bottom w:val="single" w:sz="4" w:space="0" w:color="000000"/>
              <w:right w:val="single" w:sz="4" w:space="0" w:color="000000"/>
            </w:tcBorders>
            <w:shd w:val="clear" w:color="auto" w:fill="auto"/>
            <w:vAlign w:val="center"/>
          </w:tcPr>
          <w:p w14:paraId="6ABC5ABD"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6AD9664E"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6BF7610E"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25DC539F"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63E83F18" w14:textId="77777777" w:rsidR="00817793" w:rsidRDefault="00817793">
            <w:pPr>
              <w:spacing w:before="120" w:after="120" w:line="240" w:lineRule="auto"/>
              <w:jc w:val="center"/>
              <w:rPr>
                <w:color w:val="000000"/>
              </w:rPr>
            </w:pPr>
          </w:p>
        </w:tc>
      </w:tr>
      <w:tr w:rsidR="00817793" w14:paraId="20E6ABB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0E69718" w14:textId="77777777" w:rsidR="00817793" w:rsidRDefault="002719FC">
            <w:pPr>
              <w:spacing w:before="120" w:after="120" w:line="240" w:lineRule="auto"/>
              <w:jc w:val="left"/>
              <w:rPr>
                <w:color w:val="000000"/>
              </w:rPr>
            </w:pPr>
            <w:r>
              <w:rPr>
                <w:color w:val="000000"/>
              </w:rPr>
              <w:t>Cenário de referência</w:t>
            </w:r>
          </w:p>
        </w:tc>
        <w:tc>
          <w:tcPr>
            <w:tcW w:w="1134" w:type="dxa"/>
            <w:tcBorders>
              <w:top w:val="nil"/>
              <w:left w:val="nil"/>
              <w:bottom w:val="single" w:sz="4" w:space="0" w:color="000000"/>
              <w:right w:val="single" w:sz="4" w:space="0" w:color="000000"/>
            </w:tcBorders>
            <w:shd w:val="clear" w:color="auto" w:fill="auto"/>
            <w:vAlign w:val="center"/>
          </w:tcPr>
          <w:p w14:paraId="49832D11" w14:textId="77777777" w:rsidR="00817793" w:rsidRDefault="002719FC">
            <w:pPr>
              <w:spacing w:before="120" w:after="120" w:line="240" w:lineRule="auto"/>
              <w:jc w:val="center"/>
              <w:rPr>
                <w:color w:val="000000"/>
              </w:rPr>
            </w:pPr>
            <w:r>
              <w:rPr>
                <w:color w:val="000000"/>
              </w:rPr>
              <w:t>8</w:t>
            </w:r>
          </w:p>
        </w:tc>
        <w:tc>
          <w:tcPr>
            <w:tcW w:w="5959" w:type="dxa"/>
            <w:tcBorders>
              <w:top w:val="nil"/>
              <w:left w:val="nil"/>
              <w:bottom w:val="single" w:sz="4" w:space="0" w:color="000000"/>
              <w:right w:val="single" w:sz="4" w:space="0" w:color="000000"/>
            </w:tcBorders>
            <w:shd w:val="clear" w:color="auto" w:fill="auto"/>
            <w:vAlign w:val="center"/>
          </w:tcPr>
          <w:p w14:paraId="25104AD9" w14:textId="77777777" w:rsidR="00817793" w:rsidRDefault="002719FC">
            <w:pPr>
              <w:spacing w:before="120" w:after="120" w:line="240" w:lineRule="auto"/>
              <w:jc w:val="left"/>
              <w:rPr>
                <w:color w:val="000000"/>
              </w:rPr>
            </w:pPr>
            <w:r>
              <w:rPr>
                <w:color w:val="000000"/>
              </w:rPr>
              <w:t>O cenário de referência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58B47519"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6FBAD364"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5DC4596E"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71E9947C"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1413D853" w14:textId="77777777" w:rsidR="00817793" w:rsidRDefault="00817793">
            <w:pPr>
              <w:spacing w:before="120" w:after="120" w:line="240" w:lineRule="auto"/>
              <w:jc w:val="center"/>
              <w:rPr>
                <w:color w:val="000000"/>
              </w:rPr>
            </w:pPr>
          </w:p>
        </w:tc>
      </w:tr>
      <w:tr w:rsidR="00817793" w14:paraId="4D0DCA6B"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389C1EDD" w14:textId="77777777" w:rsidR="00817793" w:rsidRDefault="002719FC">
            <w:pPr>
              <w:spacing w:before="120" w:after="120" w:line="240" w:lineRule="auto"/>
              <w:jc w:val="left"/>
              <w:rPr>
                <w:color w:val="000000"/>
              </w:rPr>
            </w:pPr>
            <w:r>
              <w:rPr>
                <w:color w:val="000000"/>
              </w:rPr>
              <w:t>Cenário alternativo 1</w:t>
            </w:r>
          </w:p>
        </w:tc>
        <w:tc>
          <w:tcPr>
            <w:tcW w:w="1134" w:type="dxa"/>
            <w:tcBorders>
              <w:top w:val="nil"/>
              <w:left w:val="nil"/>
              <w:bottom w:val="single" w:sz="4" w:space="0" w:color="000000"/>
              <w:right w:val="single" w:sz="4" w:space="0" w:color="000000"/>
            </w:tcBorders>
            <w:shd w:val="clear" w:color="auto" w:fill="auto"/>
            <w:vAlign w:val="center"/>
          </w:tcPr>
          <w:p w14:paraId="1391D46B" w14:textId="77777777" w:rsidR="00817793" w:rsidRDefault="002719FC">
            <w:pPr>
              <w:spacing w:before="120" w:after="120" w:line="240" w:lineRule="auto"/>
              <w:jc w:val="center"/>
              <w:rPr>
                <w:color w:val="000000"/>
              </w:rPr>
            </w:pPr>
            <w:r>
              <w:rPr>
                <w:color w:val="000000"/>
              </w:rPr>
              <w:t>9</w:t>
            </w:r>
          </w:p>
        </w:tc>
        <w:tc>
          <w:tcPr>
            <w:tcW w:w="5959" w:type="dxa"/>
            <w:tcBorders>
              <w:top w:val="nil"/>
              <w:left w:val="nil"/>
              <w:bottom w:val="single" w:sz="4" w:space="0" w:color="000000"/>
              <w:right w:val="single" w:sz="4" w:space="0" w:color="000000"/>
            </w:tcBorders>
            <w:shd w:val="clear" w:color="auto" w:fill="auto"/>
            <w:vAlign w:val="center"/>
          </w:tcPr>
          <w:p w14:paraId="0FF94A91" w14:textId="77777777" w:rsidR="00817793" w:rsidRDefault="002719FC">
            <w:pPr>
              <w:spacing w:before="120" w:after="120" w:line="240" w:lineRule="auto"/>
              <w:jc w:val="left"/>
              <w:rPr>
                <w:color w:val="000000"/>
              </w:rPr>
            </w:pPr>
            <w:r>
              <w:rPr>
                <w:color w:val="000000"/>
              </w:rPr>
              <w:t>O cenário de referência 1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3C354A8"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2A7A9836"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7CE7A2C"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2C7DA92C"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F904CCB" w14:textId="77777777" w:rsidR="00817793" w:rsidRDefault="00817793">
            <w:pPr>
              <w:spacing w:before="120" w:after="120" w:line="240" w:lineRule="auto"/>
              <w:jc w:val="center"/>
              <w:rPr>
                <w:color w:val="000000"/>
              </w:rPr>
            </w:pPr>
          </w:p>
        </w:tc>
      </w:tr>
      <w:tr w:rsidR="00817793" w14:paraId="4A6F87F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58651A0D" w14:textId="77777777" w:rsidR="00817793" w:rsidRDefault="002719FC">
            <w:pPr>
              <w:spacing w:before="120" w:after="120" w:line="240" w:lineRule="auto"/>
              <w:jc w:val="left"/>
              <w:rPr>
                <w:color w:val="000000"/>
              </w:rPr>
            </w:pPr>
            <w:r>
              <w:rPr>
                <w:color w:val="000000"/>
              </w:rPr>
              <w:t>Cenário alternativo 2</w:t>
            </w:r>
          </w:p>
        </w:tc>
        <w:tc>
          <w:tcPr>
            <w:tcW w:w="1134" w:type="dxa"/>
            <w:tcBorders>
              <w:top w:val="nil"/>
              <w:left w:val="nil"/>
              <w:bottom w:val="single" w:sz="4" w:space="0" w:color="000000"/>
              <w:right w:val="single" w:sz="4" w:space="0" w:color="000000"/>
            </w:tcBorders>
            <w:shd w:val="clear" w:color="auto" w:fill="auto"/>
            <w:vAlign w:val="center"/>
          </w:tcPr>
          <w:p w14:paraId="22F65FF9" w14:textId="77777777" w:rsidR="00817793" w:rsidRDefault="002719FC">
            <w:pPr>
              <w:spacing w:before="120" w:after="120" w:line="240" w:lineRule="auto"/>
              <w:jc w:val="center"/>
              <w:rPr>
                <w:color w:val="000000"/>
              </w:rPr>
            </w:pPr>
            <w:r>
              <w:rPr>
                <w:color w:val="000000"/>
              </w:rPr>
              <w:t>10</w:t>
            </w:r>
          </w:p>
        </w:tc>
        <w:tc>
          <w:tcPr>
            <w:tcW w:w="5959" w:type="dxa"/>
            <w:tcBorders>
              <w:top w:val="nil"/>
              <w:left w:val="nil"/>
              <w:bottom w:val="single" w:sz="4" w:space="0" w:color="000000"/>
              <w:right w:val="single" w:sz="4" w:space="0" w:color="000000"/>
            </w:tcBorders>
            <w:shd w:val="clear" w:color="auto" w:fill="auto"/>
            <w:vAlign w:val="center"/>
          </w:tcPr>
          <w:p w14:paraId="664F973E" w14:textId="77777777" w:rsidR="00817793" w:rsidRDefault="002719FC">
            <w:pPr>
              <w:spacing w:before="120" w:after="120" w:line="240" w:lineRule="auto"/>
              <w:jc w:val="left"/>
              <w:rPr>
                <w:color w:val="000000"/>
              </w:rPr>
            </w:pPr>
            <w:r>
              <w:rPr>
                <w:color w:val="000000"/>
              </w:rPr>
              <w:t>O cenário de referência 2 (se houver)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457FA147"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040360B8"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7A1CA98"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1A55251A"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4F6D2C48" w14:textId="77777777" w:rsidR="00817793" w:rsidRDefault="00817793">
            <w:pPr>
              <w:spacing w:before="120" w:after="120" w:line="240" w:lineRule="auto"/>
              <w:jc w:val="center"/>
              <w:rPr>
                <w:color w:val="000000"/>
              </w:rPr>
            </w:pPr>
          </w:p>
        </w:tc>
      </w:tr>
      <w:tr w:rsidR="00817793" w14:paraId="5FEE571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11CE61F" w14:textId="77777777" w:rsidR="00817793" w:rsidRDefault="002719FC">
            <w:pPr>
              <w:spacing w:before="120" w:after="120" w:line="240" w:lineRule="auto"/>
              <w:jc w:val="left"/>
              <w:rPr>
                <w:color w:val="000000"/>
              </w:rPr>
            </w:pPr>
            <w:r>
              <w:rPr>
                <w:color w:val="000000"/>
              </w:rPr>
              <w:t>Cenário alternativo 3</w:t>
            </w:r>
          </w:p>
        </w:tc>
        <w:tc>
          <w:tcPr>
            <w:tcW w:w="1134" w:type="dxa"/>
            <w:tcBorders>
              <w:top w:val="nil"/>
              <w:left w:val="nil"/>
              <w:bottom w:val="single" w:sz="4" w:space="0" w:color="000000"/>
              <w:right w:val="single" w:sz="4" w:space="0" w:color="000000"/>
            </w:tcBorders>
            <w:shd w:val="clear" w:color="auto" w:fill="auto"/>
            <w:vAlign w:val="center"/>
          </w:tcPr>
          <w:p w14:paraId="7A622172" w14:textId="77777777" w:rsidR="00817793" w:rsidRDefault="002719FC">
            <w:pPr>
              <w:spacing w:before="120" w:after="120" w:line="240" w:lineRule="auto"/>
              <w:jc w:val="center"/>
              <w:rPr>
                <w:color w:val="000000"/>
              </w:rPr>
            </w:pPr>
            <w:r>
              <w:rPr>
                <w:color w:val="000000"/>
              </w:rPr>
              <w:t>11</w:t>
            </w:r>
          </w:p>
        </w:tc>
        <w:tc>
          <w:tcPr>
            <w:tcW w:w="5959" w:type="dxa"/>
            <w:tcBorders>
              <w:top w:val="nil"/>
              <w:left w:val="nil"/>
              <w:bottom w:val="single" w:sz="4" w:space="0" w:color="000000"/>
              <w:right w:val="single" w:sz="4" w:space="0" w:color="000000"/>
            </w:tcBorders>
            <w:shd w:val="clear" w:color="auto" w:fill="auto"/>
            <w:vAlign w:val="center"/>
          </w:tcPr>
          <w:p w14:paraId="0E6C4A67" w14:textId="77777777" w:rsidR="00817793" w:rsidRDefault="002719FC">
            <w:pPr>
              <w:spacing w:before="120" w:after="120" w:line="240" w:lineRule="auto"/>
              <w:jc w:val="left"/>
              <w:rPr>
                <w:color w:val="000000"/>
              </w:rPr>
            </w:pPr>
            <w:r>
              <w:rPr>
                <w:color w:val="000000"/>
              </w:rPr>
              <w:t>O cenário de referência 3 (se houver)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0FDFCD0A"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31F27C88"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79B88F8C"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145C11DD"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6B40E7A7" w14:textId="77777777" w:rsidR="00817793" w:rsidRDefault="00817793">
            <w:pPr>
              <w:spacing w:before="120" w:after="120" w:line="240" w:lineRule="auto"/>
              <w:jc w:val="center"/>
              <w:rPr>
                <w:color w:val="000000"/>
              </w:rPr>
            </w:pPr>
          </w:p>
        </w:tc>
      </w:tr>
      <w:tr w:rsidR="00817793" w14:paraId="656B937D"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50EC1D59" w14:textId="77777777" w:rsidR="00817793" w:rsidRDefault="002719FC">
            <w:pPr>
              <w:spacing w:before="120" w:after="120" w:line="240" w:lineRule="auto"/>
              <w:jc w:val="left"/>
              <w:rPr>
                <w:b/>
              </w:rPr>
            </w:pPr>
            <w:r>
              <w:rPr>
                <w:b/>
              </w:rPr>
              <w:t>População-alvo</w:t>
            </w:r>
          </w:p>
        </w:tc>
      </w:tr>
      <w:tr w:rsidR="00817793" w14:paraId="54E9F2C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22C1F6C3" w14:textId="77777777" w:rsidR="00817793" w:rsidRDefault="002719FC">
            <w:pPr>
              <w:spacing w:before="120" w:after="120" w:line="240" w:lineRule="auto"/>
              <w:jc w:val="left"/>
              <w:rPr>
                <w:color w:val="000000"/>
              </w:rPr>
            </w:pPr>
            <w:r>
              <w:rPr>
                <w:color w:val="000000"/>
              </w:rPr>
              <w:t>Método</w:t>
            </w:r>
          </w:p>
        </w:tc>
        <w:tc>
          <w:tcPr>
            <w:tcW w:w="1134" w:type="dxa"/>
            <w:tcBorders>
              <w:top w:val="nil"/>
              <w:left w:val="nil"/>
              <w:bottom w:val="single" w:sz="4" w:space="0" w:color="000000"/>
              <w:right w:val="single" w:sz="4" w:space="0" w:color="000000"/>
            </w:tcBorders>
            <w:shd w:val="clear" w:color="auto" w:fill="auto"/>
            <w:vAlign w:val="center"/>
          </w:tcPr>
          <w:p w14:paraId="60063D61" w14:textId="77777777" w:rsidR="00817793" w:rsidRDefault="002719FC">
            <w:pPr>
              <w:spacing w:before="120" w:after="120" w:line="240" w:lineRule="auto"/>
              <w:jc w:val="center"/>
              <w:rPr>
                <w:color w:val="000000"/>
              </w:rPr>
            </w:pPr>
            <w:r>
              <w:rPr>
                <w:color w:val="000000"/>
              </w:rPr>
              <w:t>12</w:t>
            </w:r>
          </w:p>
        </w:tc>
        <w:tc>
          <w:tcPr>
            <w:tcW w:w="5959" w:type="dxa"/>
            <w:tcBorders>
              <w:top w:val="nil"/>
              <w:left w:val="nil"/>
              <w:bottom w:val="single" w:sz="4" w:space="0" w:color="000000"/>
              <w:right w:val="single" w:sz="4" w:space="0" w:color="000000"/>
            </w:tcBorders>
            <w:shd w:val="clear" w:color="auto" w:fill="auto"/>
            <w:vAlign w:val="center"/>
          </w:tcPr>
          <w:p w14:paraId="15DB5488" w14:textId="77777777" w:rsidR="00817793" w:rsidRDefault="002719FC">
            <w:pPr>
              <w:spacing w:before="120" w:after="120" w:line="240" w:lineRule="auto"/>
              <w:jc w:val="left"/>
              <w:rPr>
                <w:color w:val="000000"/>
              </w:rPr>
            </w:pPr>
            <w:r>
              <w:rPr>
                <w:color w:val="000000"/>
              </w:rPr>
              <w:t>O método utilizado na estimativa da população-alvo e/ou subgrupo é adequado e apresentado de forma clara.</w:t>
            </w:r>
          </w:p>
        </w:tc>
        <w:tc>
          <w:tcPr>
            <w:tcW w:w="850" w:type="dxa"/>
            <w:tcBorders>
              <w:top w:val="nil"/>
              <w:left w:val="nil"/>
              <w:bottom w:val="single" w:sz="4" w:space="0" w:color="000000"/>
              <w:right w:val="single" w:sz="4" w:space="0" w:color="000000"/>
            </w:tcBorders>
            <w:shd w:val="clear" w:color="auto" w:fill="auto"/>
            <w:vAlign w:val="center"/>
          </w:tcPr>
          <w:p w14:paraId="21615E5F"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3FFF7D4A"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287B69A3"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63A0829D"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9CA8924" w14:textId="77777777" w:rsidR="00817793" w:rsidRDefault="00817793">
            <w:pPr>
              <w:spacing w:before="120" w:after="120" w:line="240" w:lineRule="auto"/>
              <w:jc w:val="center"/>
              <w:rPr>
                <w:color w:val="000000"/>
              </w:rPr>
            </w:pPr>
          </w:p>
        </w:tc>
      </w:tr>
    </w:tbl>
    <w:p w14:paraId="1BB6F150" w14:textId="77777777" w:rsidR="00817793" w:rsidRDefault="002719FC">
      <w:r>
        <w:br w:type="page"/>
      </w:r>
    </w:p>
    <w:tbl>
      <w:tblPr>
        <w:tblStyle w:val="affff6"/>
        <w:tblW w:w="13471" w:type="dxa"/>
        <w:jc w:val="center"/>
        <w:tblInd w:w="0" w:type="dxa"/>
        <w:tblLayout w:type="fixed"/>
        <w:tblLook w:val="0400" w:firstRow="0" w:lastRow="0" w:firstColumn="0" w:lastColumn="0" w:noHBand="0" w:noVBand="1"/>
      </w:tblPr>
      <w:tblGrid>
        <w:gridCol w:w="2233"/>
        <w:gridCol w:w="1134"/>
        <w:gridCol w:w="5959"/>
        <w:gridCol w:w="850"/>
        <w:gridCol w:w="851"/>
        <w:gridCol w:w="887"/>
        <w:gridCol w:w="814"/>
        <w:gridCol w:w="743"/>
      </w:tblGrid>
      <w:tr w:rsidR="00817793" w14:paraId="42DA1551"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A95C4B8" w14:textId="77777777" w:rsidR="00817793" w:rsidRDefault="002719FC">
            <w:pPr>
              <w:spacing w:before="120" w:after="120" w:line="240" w:lineRule="auto"/>
              <w:jc w:val="center"/>
              <w:rPr>
                <w:b/>
              </w:rPr>
            </w:pPr>
            <w:r>
              <w:rPr>
                <w:b/>
              </w:rPr>
              <w:lastRenderedPageBreak/>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29FF96C8" w14:textId="77777777" w:rsidR="00817793" w:rsidRDefault="002719FC">
            <w:pPr>
              <w:spacing w:before="120" w:after="120" w:line="240" w:lineRule="auto"/>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4004D83" w14:textId="77777777" w:rsidR="00817793" w:rsidRDefault="002719FC">
            <w:pPr>
              <w:spacing w:before="120" w:after="120" w:line="240" w:lineRule="auto"/>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08C97525" w14:textId="77777777" w:rsidR="00817793" w:rsidRDefault="002719FC">
            <w:pPr>
              <w:spacing w:before="120" w:after="120" w:line="240" w:lineRule="auto"/>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0CFCED5F" w14:textId="77777777" w:rsidR="00817793" w:rsidRDefault="002719FC">
            <w:pPr>
              <w:spacing w:before="120" w:after="120" w:line="240" w:lineRule="auto"/>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37915E23" w14:textId="77777777" w:rsidR="00817793" w:rsidRDefault="002719FC">
            <w:pPr>
              <w:spacing w:before="120" w:after="120" w:line="240" w:lineRule="auto"/>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39818827" w14:textId="77777777" w:rsidR="00817793" w:rsidRDefault="002719FC">
            <w:pPr>
              <w:spacing w:before="120" w:after="120" w:line="240" w:lineRule="auto"/>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05D92C05" w14:textId="77777777" w:rsidR="00817793" w:rsidRDefault="002719FC">
            <w:pPr>
              <w:spacing w:before="120" w:after="120" w:line="240" w:lineRule="auto"/>
              <w:jc w:val="center"/>
              <w:rPr>
                <w:b/>
              </w:rPr>
            </w:pPr>
            <w:proofErr w:type="spellStart"/>
            <w:r>
              <w:rPr>
                <w:b/>
              </w:rPr>
              <w:t>Pág.nº</w:t>
            </w:r>
            <w:proofErr w:type="spellEnd"/>
          </w:p>
        </w:tc>
      </w:tr>
      <w:tr w:rsidR="00817793" w14:paraId="7E615B5F"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55036127" w14:textId="77777777" w:rsidR="00817793" w:rsidRDefault="002719FC">
            <w:pPr>
              <w:spacing w:before="120" w:after="120" w:line="240" w:lineRule="auto"/>
              <w:jc w:val="left"/>
              <w:rPr>
                <w:b/>
              </w:rPr>
            </w:pPr>
            <w:r>
              <w:rPr>
                <w:b/>
              </w:rPr>
              <w:t>Custos</w:t>
            </w:r>
          </w:p>
        </w:tc>
      </w:tr>
      <w:tr w:rsidR="00817793" w14:paraId="01808AFE"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1A714804" w14:textId="77777777" w:rsidR="00817793" w:rsidRDefault="002719FC">
            <w:pPr>
              <w:spacing w:before="120" w:after="120" w:line="240" w:lineRule="auto"/>
              <w:jc w:val="left"/>
              <w:rPr>
                <w:color w:val="000000"/>
              </w:rPr>
            </w:pPr>
            <w:r>
              <w:rPr>
                <w:color w:val="000000"/>
              </w:rPr>
              <w:t>Componentes e fontes (intervenção)</w:t>
            </w:r>
          </w:p>
        </w:tc>
        <w:tc>
          <w:tcPr>
            <w:tcW w:w="1134" w:type="dxa"/>
            <w:tcBorders>
              <w:top w:val="nil"/>
              <w:left w:val="nil"/>
              <w:bottom w:val="single" w:sz="4" w:space="0" w:color="000000"/>
              <w:right w:val="single" w:sz="4" w:space="0" w:color="000000"/>
            </w:tcBorders>
            <w:shd w:val="clear" w:color="auto" w:fill="auto"/>
            <w:vAlign w:val="center"/>
          </w:tcPr>
          <w:p w14:paraId="7B862D82" w14:textId="77777777" w:rsidR="00817793" w:rsidRDefault="002719FC">
            <w:pPr>
              <w:spacing w:before="120" w:after="120" w:line="240" w:lineRule="auto"/>
              <w:jc w:val="center"/>
              <w:rPr>
                <w:color w:val="000000"/>
              </w:rPr>
            </w:pPr>
            <w:r>
              <w:rPr>
                <w:color w:val="000000"/>
              </w:rPr>
              <w:t>13</w:t>
            </w:r>
          </w:p>
        </w:tc>
        <w:tc>
          <w:tcPr>
            <w:tcW w:w="5959" w:type="dxa"/>
            <w:tcBorders>
              <w:top w:val="nil"/>
              <w:left w:val="nil"/>
              <w:bottom w:val="single" w:sz="4" w:space="0" w:color="000000"/>
              <w:right w:val="single" w:sz="4" w:space="0" w:color="000000"/>
            </w:tcBorders>
            <w:shd w:val="clear" w:color="auto" w:fill="auto"/>
            <w:vAlign w:val="center"/>
          </w:tcPr>
          <w:p w14:paraId="4F471F5E" w14:textId="77777777" w:rsidR="00817793" w:rsidRDefault="002719FC">
            <w:pPr>
              <w:spacing w:before="120" w:after="120" w:line="240" w:lineRule="auto"/>
              <w:jc w:val="left"/>
              <w:rPr>
                <w:color w:val="000000"/>
              </w:rPr>
            </w:pPr>
            <w:r>
              <w:rPr>
                <w:color w:val="000000"/>
              </w:rPr>
              <w:t>Os componentes e as fontes dos custos da intervenção são adequados e apresentados de forma clara.</w:t>
            </w:r>
          </w:p>
        </w:tc>
        <w:tc>
          <w:tcPr>
            <w:tcW w:w="850" w:type="dxa"/>
            <w:tcBorders>
              <w:top w:val="nil"/>
              <w:left w:val="nil"/>
              <w:bottom w:val="single" w:sz="4" w:space="0" w:color="000000"/>
              <w:right w:val="single" w:sz="4" w:space="0" w:color="000000"/>
            </w:tcBorders>
            <w:shd w:val="clear" w:color="auto" w:fill="auto"/>
            <w:vAlign w:val="center"/>
          </w:tcPr>
          <w:p w14:paraId="709FC242"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04338875"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2CCB938B"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796B98D5"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44BE600" w14:textId="77777777" w:rsidR="00817793" w:rsidRDefault="00817793">
            <w:pPr>
              <w:spacing w:before="120" w:after="120" w:line="240" w:lineRule="auto"/>
              <w:jc w:val="center"/>
              <w:rPr>
                <w:color w:val="000000"/>
              </w:rPr>
            </w:pPr>
          </w:p>
        </w:tc>
      </w:tr>
      <w:tr w:rsidR="00817793" w14:paraId="43D5375A"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1C165929" w14:textId="77777777" w:rsidR="00817793" w:rsidRDefault="002719FC">
            <w:pPr>
              <w:spacing w:before="120" w:after="120" w:line="240" w:lineRule="auto"/>
              <w:jc w:val="left"/>
              <w:rPr>
                <w:color w:val="000000"/>
              </w:rPr>
            </w:pPr>
            <w:r>
              <w:rPr>
                <w:color w:val="000000"/>
              </w:rPr>
              <w:t>Componentes e fontes (comparadores)</w:t>
            </w:r>
          </w:p>
        </w:tc>
        <w:tc>
          <w:tcPr>
            <w:tcW w:w="1134" w:type="dxa"/>
            <w:tcBorders>
              <w:top w:val="nil"/>
              <w:left w:val="nil"/>
              <w:bottom w:val="single" w:sz="4" w:space="0" w:color="000000"/>
              <w:right w:val="single" w:sz="4" w:space="0" w:color="000000"/>
            </w:tcBorders>
            <w:shd w:val="clear" w:color="auto" w:fill="auto"/>
            <w:vAlign w:val="center"/>
          </w:tcPr>
          <w:p w14:paraId="052CBC2D" w14:textId="77777777" w:rsidR="00817793" w:rsidRDefault="002719FC">
            <w:pPr>
              <w:spacing w:before="120" w:after="120" w:line="240" w:lineRule="auto"/>
              <w:jc w:val="center"/>
              <w:rPr>
                <w:color w:val="000000"/>
              </w:rPr>
            </w:pPr>
            <w:r>
              <w:rPr>
                <w:color w:val="000000"/>
              </w:rPr>
              <w:t>14</w:t>
            </w:r>
          </w:p>
        </w:tc>
        <w:tc>
          <w:tcPr>
            <w:tcW w:w="5959" w:type="dxa"/>
            <w:tcBorders>
              <w:top w:val="nil"/>
              <w:left w:val="nil"/>
              <w:bottom w:val="single" w:sz="4" w:space="0" w:color="000000"/>
              <w:right w:val="single" w:sz="4" w:space="0" w:color="000000"/>
            </w:tcBorders>
            <w:shd w:val="clear" w:color="auto" w:fill="auto"/>
            <w:vAlign w:val="center"/>
          </w:tcPr>
          <w:p w14:paraId="231D14D8" w14:textId="77777777" w:rsidR="00817793" w:rsidRDefault="002719FC">
            <w:pPr>
              <w:spacing w:before="120" w:after="120" w:line="240" w:lineRule="auto"/>
              <w:jc w:val="left"/>
              <w:rPr>
                <w:color w:val="000000"/>
              </w:rPr>
            </w:pPr>
            <w:r>
              <w:rPr>
                <w:color w:val="000000"/>
              </w:rPr>
              <w:t>Os componentes e as fontes dos custos do(s) comparador(es) são adequados e apresentados de forma clara.</w:t>
            </w:r>
          </w:p>
        </w:tc>
        <w:tc>
          <w:tcPr>
            <w:tcW w:w="850" w:type="dxa"/>
            <w:tcBorders>
              <w:top w:val="nil"/>
              <w:left w:val="nil"/>
              <w:bottom w:val="single" w:sz="4" w:space="0" w:color="000000"/>
              <w:right w:val="single" w:sz="4" w:space="0" w:color="000000"/>
            </w:tcBorders>
            <w:shd w:val="clear" w:color="auto" w:fill="auto"/>
            <w:vAlign w:val="center"/>
          </w:tcPr>
          <w:p w14:paraId="6E1A8611"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7EE3B4B9"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7D63EA2" w14:textId="77777777" w:rsidR="00817793" w:rsidRDefault="00817793">
            <w:pPr>
              <w:spacing w:before="120" w:after="120" w:line="240" w:lineRule="auto"/>
              <w:jc w:val="center"/>
              <w:rPr>
                <w:color w:val="000000"/>
                <w:sz w:val="20"/>
                <w:szCs w:val="20"/>
              </w:rPr>
            </w:pPr>
          </w:p>
        </w:tc>
        <w:tc>
          <w:tcPr>
            <w:tcW w:w="814" w:type="dxa"/>
            <w:tcBorders>
              <w:top w:val="nil"/>
              <w:left w:val="nil"/>
              <w:bottom w:val="single" w:sz="4" w:space="0" w:color="000000"/>
              <w:right w:val="single" w:sz="4" w:space="0" w:color="000000"/>
            </w:tcBorders>
            <w:shd w:val="clear" w:color="auto" w:fill="auto"/>
            <w:vAlign w:val="center"/>
          </w:tcPr>
          <w:p w14:paraId="52E608EF"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074E47F7" w14:textId="77777777" w:rsidR="00817793" w:rsidRDefault="00817793">
            <w:pPr>
              <w:spacing w:before="120" w:after="120" w:line="240" w:lineRule="auto"/>
              <w:jc w:val="center"/>
              <w:rPr>
                <w:color w:val="000000"/>
              </w:rPr>
            </w:pPr>
          </w:p>
        </w:tc>
      </w:tr>
      <w:tr w:rsidR="00817793" w14:paraId="66A41916"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F6B0B" w14:textId="77777777" w:rsidR="00817793" w:rsidRDefault="002719FC">
            <w:pPr>
              <w:spacing w:before="120" w:after="120" w:line="240" w:lineRule="auto"/>
              <w:jc w:val="left"/>
              <w:rPr>
                <w:color w:val="000000"/>
              </w:rPr>
            </w:pPr>
            <w:r>
              <w:rPr>
                <w:color w:val="000000"/>
              </w:rPr>
              <w:t>Custos associados</w:t>
            </w:r>
          </w:p>
        </w:tc>
        <w:tc>
          <w:tcPr>
            <w:tcW w:w="1134" w:type="dxa"/>
            <w:tcBorders>
              <w:top w:val="single" w:sz="4" w:space="0" w:color="000000"/>
              <w:left w:val="nil"/>
              <w:bottom w:val="single" w:sz="4" w:space="0" w:color="000000"/>
              <w:right w:val="single" w:sz="4" w:space="0" w:color="000000"/>
            </w:tcBorders>
            <w:shd w:val="clear" w:color="auto" w:fill="auto"/>
            <w:vAlign w:val="center"/>
          </w:tcPr>
          <w:p w14:paraId="423D4B9D" w14:textId="77777777" w:rsidR="00817793" w:rsidRDefault="002719FC">
            <w:pPr>
              <w:spacing w:before="120" w:after="120" w:line="240" w:lineRule="auto"/>
              <w:jc w:val="center"/>
              <w:rPr>
                <w:color w:val="000000"/>
              </w:rPr>
            </w:pPr>
            <w:r>
              <w:rPr>
                <w:color w:val="000000"/>
              </w:rPr>
              <w:t>15</w:t>
            </w:r>
          </w:p>
        </w:tc>
        <w:tc>
          <w:tcPr>
            <w:tcW w:w="5959" w:type="dxa"/>
            <w:tcBorders>
              <w:top w:val="single" w:sz="4" w:space="0" w:color="000000"/>
              <w:left w:val="nil"/>
              <w:bottom w:val="single" w:sz="4" w:space="0" w:color="000000"/>
              <w:right w:val="single" w:sz="4" w:space="0" w:color="000000"/>
            </w:tcBorders>
            <w:shd w:val="clear" w:color="auto" w:fill="auto"/>
            <w:vAlign w:val="center"/>
          </w:tcPr>
          <w:p w14:paraId="3E4027E6" w14:textId="77777777" w:rsidR="00817793" w:rsidRDefault="002719FC">
            <w:pPr>
              <w:spacing w:before="120" w:after="120" w:line="240" w:lineRule="auto"/>
              <w:jc w:val="left"/>
              <w:rPr>
                <w:color w:val="000000"/>
              </w:rPr>
            </w:pPr>
            <w:r>
              <w:rPr>
                <w:color w:val="000000"/>
              </w:rPr>
              <w:t>Os componentes e as fontes dos custos associados (se houver) são adequados e apresentados de forma clara.</w:t>
            </w:r>
          </w:p>
        </w:tc>
        <w:tc>
          <w:tcPr>
            <w:tcW w:w="850" w:type="dxa"/>
            <w:tcBorders>
              <w:top w:val="single" w:sz="4" w:space="0" w:color="000000"/>
              <w:left w:val="nil"/>
              <w:bottom w:val="single" w:sz="4" w:space="0" w:color="000000"/>
              <w:right w:val="single" w:sz="4" w:space="0" w:color="000000"/>
            </w:tcBorders>
            <w:shd w:val="clear" w:color="auto" w:fill="auto"/>
            <w:vAlign w:val="center"/>
          </w:tcPr>
          <w:p w14:paraId="4A852BA6" w14:textId="77777777" w:rsidR="00817793" w:rsidRDefault="00817793">
            <w:pPr>
              <w:spacing w:before="120" w:after="120" w:line="240" w:lineRule="auto"/>
              <w:jc w:val="center"/>
              <w:rPr>
                <w:color w:val="000000"/>
              </w:rPr>
            </w:pP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299FC03" w14:textId="77777777" w:rsidR="00817793" w:rsidRDefault="00817793">
            <w:pPr>
              <w:spacing w:before="120" w:after="120" w:line="240" w:lineRule="auto"/>
              <w:jc w:val="center"/>
              <w:rPr>
                <w:color w:val="000000"/>
              </w:rPr>
            </w:pPr>
          </w:p>
        </w:tc>
        <w:tc>
          <w:tcPr>
            <w:tcW w:w="887" w:type="dxa"/>
            <w:tcBorders>
              <w:top w:val="single" w:sz="4" w:space="0" w:color="000000"/>
              <w:left w:val="nil"/>
              <w:bottom w:val="single" w:sz="4" w:space="0" w:color="000000"/>
              <w:right w:val="single" w:sz="4" w:space="0" w:color="000000"/>
            </w:tcBorders>
            <w:shd w:val="clear" w:color="auto" w:fill="auto"/>
            <w:vAlign w:val="center"/>
          </w:tcPr>
          <w:p w14:paraId="4B4DA821" w14:textId="77777777" w:rsidR="00817793" w:rsidRDefault="002719FC">
            <w:pPr>
              <w:spacing w:before="120" w:after="120" w:line="240" w:lineRule="auto"/>
              <w:jc w:val="center"/>
              <w:rPr>
                <w:color w:val="000000"/>
              </w:rPr>
            </w:pPr>
            <w:r>
              <w:t>X</w:t>
            </w:r>
          </w:p>
        </w:tc>
        <w:tc>
          <w:tcPr>
            <w:tcW w:w="814" w:type="dxa"/>
            <w:tcBorders>
              <w:top w:val="single" w:sz="4" w:space="0" w:color="000000"/>
              <w:left w:val="nil"/>
              <w:bottom w:val="single" w:sz="4" w:space="0" w:color="000000"/>
              <w:right w:val="single" w:sz="4" w:space="0" w:color="000000"/>
            </w:tcBorders>
            <w:shd w:val="clear" w:color="auto" w:fill="auto"/>
            <w:vAlign w:val="center"/>
          </w:tcPr>
          <w:p w14:paraId="53508331" w14:textId="77777777" w:rsidR="00817793" w:rsidRDefault="00817793">
            <w:pPr>
              <w:spacing w:before="120" w:after="120" w:line="240" w:lineRule="auto"/>
              <w:jc w:val="center"/>
              <w:rPr>
                <w:color w:val="000000"/>
              </w:rPr>
            </w:pPr>
          </w:p>
        </w:tc>
        <w:tc>
          <w:tcPr>
            <w:tcW w:w="743" w:type="dxa"/>
            <w:tcBorders>
              <w:top w:val="single" w:sz="4" w:space="0" w:color="000000"/>
              <w:left w:val="nil"/>
              <w:bottom w:val="single" w:sz="4" w:space="0" w:color="000000"/>
              <w:right w:val="single" w:sz="4" w:space="0" w:color="000000"/>
            </w:tcBorders>
            <w:shd w:val="clear" w:color="auto" w:fill="auto"/>
            <w:vAlign w:val="center"/>
          </w:tcPr>
          <w:p w14:paraId="4C694B97" w14:textId="77777777" w:rsidR="00817793" w:rsidRDefault="00817793">
            <w:pPr>
              <w:spacing w:before="120" w:after="120" w:line="240" w:lineRule="auto"/>
              <w:jc w:val="center"/>
              <w:rPr>
                <w:color w:val="000000"/>
              </w:rPr>
            </w:pPr>
          </w:p>
        </w:tc>
      </w:tr>
      <w:tr w:rsidR="00817793" w14:paraId="525B2F94"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59EE6" w14:textId="77777777" w:rsidR="00817793" w:rsidRDefault="002719FC">
            <w:pPr>
              <w:spacing w:before="120" w:after="120" w:line="240" w:lineRule="auto"/>
              <w:jc w:val="left"/>
              <w:rPr>
                <w:color w:val="000000"/>
              </w:rPr>
            </w:pPr>
            <w:r>
              <w:rPr>
                <w:color w:val="000000"/>
              </w:rPr>
              <w:t>Custos não incluídos</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EFE5D" w14:textId="77777777" w:rsidR="00817793" w:rsidRDefault="002719FC">
            <w:pPr>
              <w:spacing w:before="120" w:after="120" w:line="240" w:lineRule="auto"/>
              <w:jc w:val="center"/>
              <w:rPr>
                <w:color w:val="000000"/>
              </w:rPr>
            </w:pPr>
            <w:r>
              <w:rPr>
                <w:color w:val="000000"/>
              </w:rPr>
              <w:t>16</w:t>
            </w:r>
          </w:p>
        </w:tc>
        <w:tc>
          <w:tcPr>
            <w:tcW w:w="5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86A05" w14:textId="77777777" w:rsidR="00817793" w:rsidRDefault="002719FC">
            <w:pPr>
              <w:spacing w:before="120" w:after="120" w:line="240" w:lineRule="auto"/>
              <w:jc w:val="left"/>
              <w:rPr>
                <w:color w:val="000000"/>
              </w:rPr>
            </w:pPr>
            <w:r>
              <w:rPr>
                <w:color w:val="000000"/>
              </w:rPr>
              <w:t>Os custos não incluídos são apresentados de forma clara e a justificativa para a não inclusão é adequada.</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A5489" w14:textId="77777777" w:rsidR="00817793" w:rsidRDefault="002719FC">
            <w:pPr>
              <w:spacing w:before="120" w:after="120" w:line="240" w:lineRule="auto"/>
              <w:jc w:val="center"/>
              <w:rPr>
                <w:color w:val="000000"/>
              </w:rPr>
            </w:pPr>
            <w:r>
              <w:t>X</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26D91" w14:textId="77777777" w:rsidR="00817793" w:rsidRDefault="00817793">
            <w:pPr>
              <w:spacing w:before="120" w:after="120" w:line="240" w:lineRule="auto"/>
              <w:jc w:val="center"/>
              <w:rPr>
                <w:color w:val="000000"/>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8F9AD" w14:textId="77777777" w:rsidR="00817793" w:rsidRDefault="00817793">
            <w:pPr>
              <w:spacing w:before="120" w:after="120" w:line="240" w:lineRule="auto"/>
              <w:jc w:val="center"/>
              <w:rPr>
                <w:color w:val="000000"/>
              </w:rPr>
            </w:pPr>
          </w:p>
        </w:tc>
        <w:tc>
          <w:tcPr>
            <w:tcW w:w="8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60CB" w14:textId="77777777" w:rsidR="00817793" w:rsidRDefault="00817793">
            <w:pPr>
              <w:spacing w:before="120" w:after="120" w:line="240" w:lineRule="auto"/>
              <w:jc w:val="center"/>
              <w:rPr>
                <w:color w:val="000000"/>
              </w:rPr>
            </w:pP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C30FB" w14:textId="77777777" w:rsidR="00817793" w:rsidRDefault="00817793">
            <w:pPr>
              <w:spacing w:before="120" w:after="120" w:line="240" w:lineRule="auto"/>
              <w:jc w:val="center"/>
              <w:rPr>
                <w:color w:val="000000"/>
              </w:rPr>
            </w:pPr>
          </w:p>
        </w:tc>
      </w:tr>
      <w:tr w:rsidR="00817793" w14:paraId="6685A96C"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A571E" w14:textId="77777777" w:rsidR="00817793" w:rsidRDefault="002719FC">
            <w:pPr>
              <w:spacing w:before="120" w:after="120" w:line="240" w:lineRule="auto"/>
              <w:jc w:val="left"/>
              <w:rPr>
                <w:color w:val="000000"/>
              </w:rPr>
            </w:pPr>
            <w:r>
              <w:rPr>
                <w:color w:val="000000"/>
              </w:rPr>
              <w:t>Ajustes</w:t>
            </w:r>
          </w:p>
        </w:tc>
        <w:tc>
          <w:tcPr>
            <w:tcW w:w="1134" w:type="dxa"/>
            <w:tcBorders>
              <w:top w:val="single" w:sz="4" w:space="0" w:color="000000"/>
              <w:left w:val="nil"/>
              <w:bottom w:val="single" w:sz="4" w:space="0" w:color="000000"/>
              <w:right w:val="single" w:sz="4" w:space="0" w:color="000000"/>
            </w:tcBorders>
            <w:shd w:val="clear" w:color="auto" w:fill="auto"/>
            <w:vAlign w:val="center"/>
          </w:tcPr>
          <w:p w14:paraId="44641878" w14:textId="77777777" w:rsidR="00817793" w:rsidRDefault="002719FC">
            <w:pPr>
              <w:spacing w:before="120" w:after="120" w:line="240" w:lineRule="auto"/>
              <w:jc w:val="center"/>
              <w:rPr>
                <w:color w:val="000000"/>
              </w:rPr>
            </w:pPr>
            <w:r>
              <w:rPr>
                <w:color w:val="000000"/>
              </w:rPr>
              <w:t>17</w:t>
            </w:r>
          </w:p>
        </w:tc>
        <w:tc>
          <w:tcPr>
            <w:tcW w:w="5959" w:type="dxa"/>
            <w:tcBorders>
              <w:top w:val="single" w:sz="4" w:space="0" w:color="000000"/>
              <w:left w:val="nil"/>
              <w:bottom w:val="single" w:sz="4" w:space="0" w:color="000000"/>
              <w:right w:val="single" w:sz="4" w:space="0" w:color="000000"/>
            </w:tcBorders>
            <w:shd w:val="clear" w:color="auto" w:fill="auto"/>
            <w:vAlign w:val="center"/>
          </w:tcPr>
          <w:p w14:paraId="5A5791D1" w14:textId="77777777" w:rsidR="00817793" w:rsidRDefault="002719FC">
            <w:pPr>
              <w:spacing w:before="120" w:after="120" w:line="240" w:lineRule="auto"/>
              <w:jc w:val="left"/>
              <w:rPr>
                <w:color w:val="000000"/>
              </w:rPr>
            </w:pPr>
            <w:r>
              <w:rPr>
                <w:color w:val="000000"/>
              </w:rPr>
              <w:t>Os ajustes econômicos adotados são apresentados de forma clara e a justificativa para sua utilização é adequada.</w:t>
            </w:r>
          </w:p>
        </w:tc>
        <w:tc>
          <w:tcPr>
            <w:tcW w:w="850" w:type="dxa"/>
            <w:tcBorders>
              <w:top w:val="single" w:sz="4" w:space="0" w:color="000000"/>
              <w:left w:val="nil"/>
              <w:bottom w:val="single" w:sz="4" w:space="0" w:color="000000"/>
              <w:right w:val="single" w:sz="4" w:space="0" w:color="000000"/>
            </w:tcBorders>
            <w:shd w:val="clear" w:color="auto" w:fill="auto"/>
            <w:vAlign w:val="center"/>
          </w:tcPr>
          <w:p w14:paraId="26B1A375" w14:textId="77777777" w:rsidR="00817793" w:rsidRDefault="00817793">
            <w:pPr>
              <w:spacing w:before="120" w:after="120" w:line="240" w:lineRule="auto"/>
              <w:jc w:val="center"/>
              <w:rPr>
                <w:color w:val="000000"/>
              </w:rPr>
            </w:pP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11FC6EA" w14:textId="77777777" w:rsidR="00817793" w:rsidRDefault="00817793">
            <w:pPr>
              <w:spacing w:before="120" w:after="120" w:line="240" w:lineRule="auto"/>
              <w:jc w:val="center"/>
              <w:rPr>
                <w:color w:val="000000"/>
              </w:rPr>
            </w:pPr>
          </w:p>
        </w:tc>
        <w:tc>
          <w:tcPr>
            <w:tcW w:w="887" w:type="dxa"/>
            <w:tcBorders>
              <w:top w:val="single" w:sz="4" w:space="0" w:color="000000"/>
              <w:left w:val="nil"/>
              <w:bottom w:val="single" w:sz="4" w:space="0" w:color="000000"/>
              <w:right w:val="single" w:sz="4" w:space="0" w:color="000000"/>
            </w:tcBorders>
            <w:shd w:val="clear" w:color="auto" w:fill="auto"/>
            <w:vAlign w:val="center"/>
          </w:tcPr>
          <w:p w14:paraId="764ED501" w14:textId="77777777" w:rsidR="00817793" w:rsidRDefault="00817793">
            <w:pPr>
              <w:spacing w:before="120" w:after="120" w:line="240" w:lineRule="auto"/>
              <w:jc w:val="center"/>
              <w:rPr>
                <w:color w:val="000000"/>
              </w:rPr>
            </w:pPr>
          </w:p>
        </w:tc>
        <w:tc>
          <w:tcPr>
            <w:tcW w:w="814" w:type="dxa"/>
            <w:tcBorders>
              <w:top w:val="single" w:sz="4" w:space="0" w:color="000000"/>
              <w:left w:val="nil"/>
              <w:bottom w:val="single" w:sz="4" w:space="0" w:color="000000"/>
              <w:right w:val="single" w:sz="4" w:space="0" w:color="000000"/>
            </w:tcBorders>
            <w:shd w:val="clear" w:color="auto" w:fill="auto"/>
            <w:vAlign w:val="center"/>
          </w:tcPr>
          <w:p w14:paraId="563D233C" w14:textId="77777777" w:rsidR="00817793" w:rsidRDefault="002719FC">
            <w:pPr>
              <w:spacing w:before="120" w:after="120" w:line="240" w:lineRule="auto"/>
              <w:jc w:val="center"/>
              <w:rPr>
                <w:color w:val="000000"/>
              </w:rPr>
            </w:pPr>
            <w:r>
              <w:t>X</w:t>
            </w:r>
          </w:p>
        </w:tc>
        <w:tc>
          <w:tcPr>
            <w:tcW w:w="743" w:type="dxa"/>
            <w:tcBorders>
              <w:top w:val="single" w:sz="4" w:space="0" w:color="000000"/>
              <w:left w:val="nil"/>
              <w:bottom w:val="single" w:sz="4" w:space="0" w:color="000000"/>
              <w:right w:val="single" w:sz="4" w:space="0" w:color="000000"/>
            </w:tcBorders>
            <w:shd w:val="clear" w:color="auto" w:fill="auto"/>
            <w:vAlign w:val="center"/>
          </w:tcPr>
          <w:p w14:paraId="0AB93745" w14:textId="77777777" w:rsidR="00817793" w:rsidRDefault="00817793">
            <w:pPr>
              <w:spacing w:before="120" w:after="120" w:line="240" w:lineRule="auto"/>
              <w:jc w:val="center"/>
              <w:rPr>
                <w:color w:val="000000"/>
              </w:rPr>
            </w:pPr>
          </w:p>
        </w:tc>
      </w:tr>
    </w:tbl>
    <w:p w14:paraId="49635555" w14:textId="77777777" w:rsidR="00817793" w:rsidRDefault="002719FC">
      <w:r>
        <w:br w:type="page"/>
      </w:r>
    </w:p>
    <w:tbl>
      <w:tblPr>
        <w:tblStyle w:val="affff7"/>
        <w:tblW w:w="13471" w:type="dxa"/>
        <w:jc w:val="center"/>
        <w:tblInd w:w="0" w:type="dxa"/>
        <w:tblLayout w:type="fixed"/>
        <w:tblLook w:val="0400" w:firstRow="0" w:lastRow="0" w:firstColumn="0" w:lastColumn="0" w:noHBand="0" w:noVBand="1"/>
      </w:tblPr>
      <w:tblGrid>
        <w:gridCol w:w="2233"/>
        <w:gridCol w:w="1134"/>
        <w:gridCol w:w="5959"/>
        <w:gridCol w:w="850"/>
        <w:gridCol w:w="851"/>
        <w:gridCol w:w="887"/>
        <w:gridCol w:w="814"/>
        <w:gridCol w:w="743"/>
      </w:tblGrid>
      <w:tr w:rsidR="00817793" w14:paraId="47B5861E"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337B60F" w14:textId="77777777" w:rsidR="00817793" w:rsidRDefault="002719FC">
            <w:pPr>
              <w:spacing w:before="120" w:after="120" w:line="240" w:lineRule="auto"/>
              <w:jc w:val="center"/>
              <w:rPr>
                <w:b/>
              </w:rPr>
            </w:pPr>
            <w:r>
              <w:rPr>
                <w:b/>
              </w:rPr>
              <w:lastRenderedPageBreak/>
              <w:t>Seção/Item</w:t>
            </w:r>
          </w:p>
        </w:tc>
        <w:tc>
          <w:tcPr>
            <w:tcW w:w="1134" w:type="dxa"/>
            <w:tcBorders>
              <w:top w:val="single" w:sz="4" w:space="0" w:color="000000"/>
              <w:left w:val="nil"/>
              <w:bottom w:val="single" w:sz="4" w:space="0" w:color="000000"/>
              <w:right w:val="single" w:sz="4" w:space="0" w:color="000000"/>
            </w:tcBorders>
            <w:shd w:val="clear" w:color="auto" w:fill="B4C6E7"/>
            <w:vAlign w:val="center"/>
          </w:tcPr>
          <w:p w14:paraId="4B86B345" w14:textId="77777777" w:rsidR="00817793" w:rsidRDefault="002719FC">
            <w:pPr>
              <w:spacing w:before="120" w:after="120" w:line="240" w:lineRule="auto"/>
              <w:jc w:val="center"/>
              <w:rPr>
                <w:b/>
              </w:rPr>
            </w:pPr>
            <w:r>
              <w:rPr>
                <w:b/>
              </w:rPr>
              <w:t>Item n°</w:t>
            </w:r>
          </w:p>
        </w:tc>
        <w:tc>
          <w:tcPr>
            <w:tcW w:w="5959" w:type="dxa"/>
            <w:tcBorders>
              <w:top w:val="single" w:sz="4" w:space="0" w:color="000000"/>
              <w:left w:val="nil"/>
              <w:bottom w:val="single" w:sz="4" w:space="0" w:color="000000"/>
              <w:right w:val="single" w:sz="4" w:space="0" w:color="000000"/>
            </w:tcBorders>
            <w:shd w:val="clear" w:color="auto" w:fill="B4C6E7"/>
            <w:vAlign w:val="center"/>
          </w:tcPr>
          <w:p w14:paraId="410EBA7A" w14:textId="77777777" w:rsidR="00817793" w:rsidRDefault="002719FC">
            <w:pPr>
              <w:spacing w:before="120" w:after="120" w:line="240" w:lineRule="auto"/>
              <w:jc w:val="center"/>
              <w:rPr>
                <w:b/>
              </w:rPr>
            </w:pPr>
            <w:r>
              <w:rPr>
                <w:b/>
              </w:rPr>
              <w:t>Conteúdo para verificação</w:t>
            </w:r>
          </w:p>
        </w:tc>
        <w:tc>
          <w:tcPr>
            <w:tcW w:w="850" w:type="dxa"/>
            <w:tcBorders>
              <w:top w:val="single" w:sz="4" w:space="0" w:color="000000"/>
              <w:left w:val="nil"/>
              <w:bottom w:val="single" w:sz="4" w:space="0" w:color="000000"/>
              <w:right w:val="single" w:sz="4" w:space="0" w:color="000000"/>
            </w:tcBorders>
            <w:shd w:val="clear" w:color="auto" w:fill="B4C6E7"/>
            <w:vAlign w:val="center"/>
          </w:tcPr>
          <w:p w14:paraId="7748CAE1" w14:textId="77777777" w:rsidR="00817793" w:rsidRDefault="002719FC">
            <w:pPr>
              <w:spacing w:before="120" w:after="120" w:line="240" w:lineRule="auto"/>
              <w:jc w:val="center"/>
              <w:rPr>
                <w:b/>
              </w:rPr>
            </w:pPr>
            <w:r>
              <w:rPr>
                <w:b/>
              </w:rPr>
              <w:t>Sim</w:t>
            </w:r>
          </w:p>
        </w:tc>
        <w:tc>
          <w:tcPr>
            <w:tcW w:w="851" w:type="dxa"/>
            <w:tcBorders>
              <w:top w:val="single" w:sz="4" w:space="0" w:color="000000"/>
              <w:left w:val="nil"/>
              <w:bottom w:val="single" w:sz="4" w:space="0" w:color="000000"/>
              <w:right w:val="single" w:sz="4" w:space="0" w:color="000000"/>
            </w:tcBorders>
            <w:shd w:val="clear" w:color="auto" w:fill="B4C6E7"/>
            <w:vAlign w:val="center"/>
          </w:tcPr>
          <w:p w14:paraId="36019D55" w14:textId="77777777" w:rsidR="00817793" w:rsidRDefault="002719FC">
            <w:pPr>
              <w:spacing w:before="120" w:after="120" w:line="240" w:lineRule="auto"/>
              <w:jc w:val="center"/>
              <w:rPr>
                <w:b/>
              </w:rPr>
            </w:pPr>
            <w:r>
              <w:rPr>
                <w:b/>
              </w:rPr>
              <w:t>Não</w:t>
            </w:r>
          </w:p>
        </w:tc>
        <w:tc>
          <w:tcPr>
            <w:tcW w:w="887" w:type="dxa"/>
            <w:tcBorders>
              <w:top w:val="single" w:sz="4" w:space="0" w:color="000000"/>
              <w:left w:val="nil"/>
              <w:bottom w:val="single" w:sz="4" w:space="0" w:color="000000"/>
              <w:right w:val="single" w:sz="4" w:space="0" w:color="000000"/>
            </w:tcBorders>
            <w:shd w:val="clear" w:color="auto" w:fill="B4C6E7"/>
            <w:vAlign w:val="center"/>
          </w:tcPr>
          <w:p w14:paraId="1201B272" w14:textId="77777777" w:rsidR="00817793" w:rsidRDefault="002719FC">
            <w:pPr>
              <w:spacing w:before="120" w:after="120" w:line="240" w:lineRule="auto"/>
              <w:jc w:val="center"/>
              <w:rPr>
                <w:b/>
              </w:rPr>
            </w:pPr>
            <w:r>
              <w:rPr>
                <w:b/>
              </w:rPr>
              <w:t>Parcial</w:t>
            </w:r>
          </w:p>
        </w:tc>
        <w:tc>
          <w:tcPr>
            <w:tcW w:w="814" w:type="dxa"/>
            <w:tcBorders>
              <w:top w:val="single" w:sz="4" w:space="0" w:color="000000"/>
              <w:left w:val="nil"/>
              <w:bottom w:val="single" w:sz="4" w:space="0" w:color="000000"/>
              <w:right w:val="single" w:sz="4" w:space="0" w:color="000000"/>
            </w:tcBorders>
            <w:shd w:val="clear" w:color="auto" w:fill="B4C6E7"/>
            <w:vAlign w:val="center"/>
          </w:tcPr>
          <w:p w14:paraId="19412E64" w14:textId="77777777" w:rsidR="00817793" w:rsidRDefault="002719FC">
            <w:pPr>
              <w:spacing w:before="120" w:after="120" w:line="240" w:lineRule="auto"/>
              <w:jc w:val="center"/>
              <w:rPr>
                <w:b/>
              </w:rPr>
            </w:pPr>
            <w:r>
              <w:rPr>
                <w:b/>
              </w:rPr>
              <w:t>NA</w:t>
            </w:r>
          </w:p>
        </w:tc>
        <w:tc>
          <w:tcPr>
            <w:tcW w:w="743" w:type="dxa"/>
            <w:tcBorders>
              <w:top w:val="single" w:sz="4" w:space="0" w:color="000000"/>
              <w:left w:val="nil"/>
              <w:bottom w:val="single" w:sz="4" w:space="0" w:color="000000"/>
              <w:right w:val="single" w:sz="4" w:space="0" w:color="000000"/>
            </w:tcBorders>
            <w:shd w:val="clear" w:color="auto" w:fill="B4C6E7"/>
            <w:vAlign w:val="center"/>
          </w:tcPr>
          <w:p w14:paraId="7315B007" w14:textId="77777777" w:rsidR="00817793" w:rsidRDefault="002719FC">
            <w:pPr>
              <w:spacing w:before="120" w:after="120" w:line="240" w:lineRule="auto"/>
              <w:jc w:val="center"/>
              <w:rPr>
                <w:b/>
              </w:rPr>
            </w:pPr>
            <w:proofErr w:type="spellStart"/>
            <w:r>
              <w:rPr>
                <w:b/>
              </w:rPr>
              <w:t>Pág.nº</w:t>
            </w:r>
            <w:proofErr w:type="spellEnd"/>
          </w:p>
        </w:tc>
      </w:tr>
      <w:tr w:rsidR="00817793" w14:paraId="2DF8A9C3"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3B8B1097" w14:textId="77777777" w:rsidR="00817793" w:rsidRDefault="002719FC">
            <w:pPr>
              <w:spacing w:before="120" w:after="120" w:line="240" w:lineRule="auto"/>
              <w:jc w:val="left"/>
              <w:rPr>
                <w:b/>
              </w:rPr>
            </w:pPr>
            <w:r>
              <w:rPr>
                <w:b/>
              </w:rPr>
              <w:t>Impacto orçamentário</w:t>
            </w:r>
          </w:p>
        </w:tc>
      </w:tr>
      <w:tr w:rsidR="00817793" w14:paraId="50CB4436"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590D7235" w14:textId="77777777" w:rsidR="00817793" w:rsidRDefault="002719FC">
            <w:pPr>
              <w:spacing w:before="120" w:after="120" w:line="240" w:lineRule="auto"/>
              <w:jc w:val="left"/>
              <w:rPr>
                <w:color w:val="000000"/>
              </w:rPr>
            </w:pPr>
            <w:r>
              <w:rPr>
                <w:color w:val="000000"/>
              </w:rPr>
              <w:t>Método</w:t>
            </w:r>
          </w:p>
        </w:tc>
        <w:tc>
          <w:tcPr>
            <w:tcW w:w="1134" w:type="dxa"/>
            <w:tcBorders>
              <w:top w:val="nil"/>
              <w:left w:val="nil"/>
              <w:bottom w:val="single" w:sz="4" w:space="0" w:color="000000"/>
              <w:right w:val="single" w:sz="4" w:space="0" w:color="000000"/>
            </w:tcBorders>
            <w:shd w:val="clear" w:color="auto" w:fill="auto"/>
            <w:vAlign w:val="center"/>
          </w:tcPr>
          <w:p w14:paraId="4818E51F" w14:textId="77777777" w:rsidR="00817793" w:rsidRDefault="002719FC">
            <w:pPr>
              <w:spacing w:before="120" w:after="120" w:line="240" w:lineRule="auto"/>
              <w:jc w:val="center"/>
              <w:rPr>
                <w:color w:val="000000"/>
              </w:rPr>
            </w:pPr>
            <w:r>
              <w:rPr>
                <w:color w:val="000000"/>
              </w:rPr>
              <w:t>18</w:t>
            </w:r>
          </w:p>
        </w:tc>
        <w:tc>
          <w:tcPr>
            <w:tcW w:w="5959" w:type="dxa"/>
            <w:tcBorders>
              <w:top w:val="nil"/>
              <w:left w:val="nil"/>
              <w:bottom w:val="single" w:sz="4" w:space="0" w:color="000000"/>
              <w:right w:val="single" w:sz="4" w:space="0" w:color="000000"/>
            </w:tcBorders>
            <w:shd w:val="clear" w:color="auto" w:fill="auto"/>
            <w:vAlign w:val="center"/>
          </w:tcPr>
          <w:p w14:paraId="5203084E" w14:textId="77777777" w:rsidR="00817793" w:rsidRDefault="002719FC">
            <w:pPr>
              <w:spacing w:before="120" w:after="120" w:line="240" w:lineRule="auto"/>
              <w:jc w:val="left"/>
              <w:rPr>
                <w:color w:val="000000"/>
              </w:rPr>
            </w:pPr>
            <w:r>
              <w:rPr>
                <w:color w:val="000000"/>
              </w:rPr>
              <w:t>O método adotado para estimativa do impacto orçamentário é apresentado de forma clara (</w:t>
            </w:r>
            <w:r>
              <w:rPr>
                <w:i/>
                <w:color w:val="000000"/>
              </w:rPr>
              <w:t>software</w:t>
            </w:r>
            <w:r>
              <w:rPr>
                <w:color w:val="000000"/>
              </w:rPr>
              <w:t>, modelo estático ou dinâmico etc.) e a justificativa para sua utilização é adequada.</w:t>
            </w:r>
          </w:p>
        </w:tc>
        <w:tc>
          <w:tcPr>
            <w:tcW w:w="850" w:type="dxa"/>
            <w:tcBorders>
              <w:top w:val="nil"/>
              <w:left w:val="nil"/>
              <w:bottom w:val="single" w:sz="4" w:space="0" w:color="000000"/>
              <w:right w:val="single" w:sz="4" w:space="0" w:color="000000"/>
            </w:tcBorders>
            <w:shd w:val="clear" w:color="auto" w:fill="auto"/>
            <w:vAlign w:val="center"/>
          </w:tcPr>
          <w:p w14:paraId="4FC8BD3B"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17A53FC6"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CDEAE01"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50F07069"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2FF85D32" w14:textId="77777777" w:rsidR="00817793" w:rsidRDefault="00817793">
            <w:pPr>
              <w:spacing w:before="120" w:after="120" w:line="240" w:lineRule="auto"/>
              <w:jc w:val="center"/>
              <w:rPr>
                <w:color w:val="000000"/>
              </w:rPr>
            </w:pPr>
          </w:p>
        </w:tc>
      </w:tr>
      <w:tr w:rsidR="00817793" w14:paraId="583883A7"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3BF204A5" w14:textId="77777777" w:rsidR="00817793" w:rsidRDefault="002719FC">
            <w:pPr>
              <w:spacing w:before="120" w:after="120" w:line="240" w:lineRule="auto"/>
              <w:jc w:val="left"/>
              <w:rPr>
                <w:color w:val="000000"/>
              </w:rPr>
            </w:pPr>
            <w:r>
              <w:rPr>
                <w:color w:val="000000"/>
              </w:rPr>
              <w:t>Impacto por cenário</w:t>
            </w:r>
          </w:p>
        </w:tc>
        <w:tc>
          <w:tcPr>
            <w:tcW w:w="1134" w:type="dxa"/>
            <w:tcBorders>
              <w:top w:val="nil"/>
              <w:left w:val="nil"/>
              <w:bottom w:val="single" w:sz="4" w:space="0" w:color="000000"/>
              <w:right w:val="single" w:sz="4" w:space="0" w:color="000000"/>
            </w:tcBorders>
            <w:shd w:val="clear" w:color="auto" w:fill="auto"/>
            <w:vAlign w:val="center"/>
          </w:tcPr>
          <w:p w14:paraId="565B2BCC" w14:textId="77777777" w:rsidR="00817793" w:rsidRDefault="002719FC">
            <w:pPr>
              <w:spacing w:before="120" w:after="120" w:line="240" w:lineRule="auto"/>
              <w:jc w:val="center"/>
              <w:rPr>
                <w:color w:val="000000"/>
              </w:rPr>
            </w:pPr>
            <w:r>
              <w:rPr>
                <w:color w:val="000000"/>
              </w:rPr>
              <w:t>19</w:t>
            </w:r>
          </w:p>
        </w:tc>
        <w:tc>
          <w:tcPr>
            <w:tcW w:w="5959" w:type="dxa"/>
            <w:tcBorders>
              <w:top w:val="nil"/>
              <w:left w:val="nil"/>
              <w:bottom w:val="single" w:sz="4" w:space="0" w:color="000000"/>
              <w:right w:val="single" w:sz="4" w:space="0" w:color="000000"/>
            </w:tcBorders>
            <w:shd w:val="clear" w:color="auto" w:fill="auto"/>
            <w:vAlign w:val="center"/>
          </w:tcPr>
          <w:p w14:paraId="2E40306B" w14:textId="77777777" w:rsidR="00817793" w:rsidRDefault="002719FC">
            <w:pPr>
              <w:spacing w:before="120" w:after="120" w:line="240" w:lineRule="auto"/>
              <w:jc w:val="left"/>
              <w:rPr>
                <w:color w:val="000000"/>
              </w:rPr>
            </w:pPr>
            <w:r>
              <w:rPr>
                <w:color w:val="000000"/>
              </w:rPr>
              <w:t>O impacto orçamentário é apresentado por cenário de forma clara, a cada ano e acumulado nos cinco anos.</w:t>
            </w:r>
          </w:p>
        </w:tc>
        <w:tc>
          <w:tcPr>
            <w:tcW w:w="850" w:type="dxa"/>
            <w:tcBorders>
              <w:top w:val="nil"/>
              <w:left w:val="nil"/>
              <w:bottom w:val="single" w:sz="4" w:space="0" w:color="000000"/>
              <w:right w:val="single" w:sz="4" w:space="0" w:color="000000"/>
            </w:tcBorders>
            <w:shd w:val="clear" w:color="auto" w:fill="auto"/>
            <w:vAlign w:val="center"/>
          </w:tcPr>
          <w:p w14:paraId="17360855"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1E954643"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627AA0AC" w14:textId="77777777" w:rsidR="00817793" w:rsidRDefault="00817793">
            <w:pPr>
              <w:spacing w:before="120" w:after="120" w:line="240" w:lineRule="auto"/>
              <w:jc w:val="center"/>
              <w:rPr>
                <w:color w:val="000000"/>
                <w:sz w:val="20"/>
                <w:szCs w:val="20"/>
              </w:rPr>
            </w:pPr>
          </w:p>
        </w:tc>
        <w:tc>
          <w:tcPr>
            <w:tcW w:w="814" w:type="dxa"/>
            <w:tcBorders>
              <w:top w:val="nil"/>
              <w:left w:val="nil"/>
              <w:bottom w:val="single" w:sz="4" w:space="0" w:color="000000"/>
              <w:right w:val="single" w:sz="4" w:space="0" w:color="000000"/>
            </w:tcBorders>
            <w:shd w:val="clear" w:color="auto" w:fill="auto"/>
            <w:vAlign w:val="center"/>
          </w:tcPr>
          <w:p w14:paraId="5A7AF15D"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06686FEF" w14:textId="77777777" w:rsidR="00817793" w:rsidRDefault="00817793">
            <w:pPr>
              <w:spacing w:before="120" w:after="120" w:line="240" w:lineRule="auto"/>
              <w:jc w:val="center"/>
              <w:rPr>
                <w:color w:val="000000"/>
              </w:rPr>
            </w:pPr>
          </w:p>
        </w:tc>
      </w:tr>
      <w:tr w:rsidR="00817793" w14:paraId="6200FA0B" w14:textId="77777777">
        <w:trPr>
          <w:trHeight w:val="799"/>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26A939F2" w14:textId="77777777" w:rsidR="00817793" w:rsidRDefault="002719FC">
            <w:pPr>
              <w:spacing w:before="120" w:after="120" w:line="240" w:lineRule="auto"/>
              <w:jc w:val="left"/>
              <w:rPr>
                <w:color w:val="000000"/>
              </w:rPr>
            </w:pPr>
            <w:r>
              <w:rPr>
                <w:color w:val="000000"/>
              </w:rPr>
              <w:t>Impacto incremental</w:t>
            </w:r>
          </w:p>
        </w:tc>
        <w:tc>
          <w:tcPr>
            <w:tcW w:w="1134" w:type="dxa"/>
            <w:tcBorders>
              <w:top w:val="nil"/>
              <w:left w:val="nil"/>
              <w:bottom w:val="single" w:sz="4" w:space="0" w:color="000000"/>
              <w:right w:val="single" w:sz="4" w:space="0" w:color="000000"/>
            </w:tcBorders>
            <w:shd w:val="clear" w:color="auto" w:fill="auto"/>
            <w:vAlign w:val="center"/>
          </w:tcPr>
          <w:p w14:paraId="72A4FFC0" w14:textId="77777777" w:rsidR="00817793" w:rsidRDefault="002719FC">
            <w:pPr>
              <w:spacing w:before="120" w:after="120" w:line="240" w:lineRule="auto"/>
              <w:jc w:val="center"/>
              <w:rPr>
                <w:color w:val="000000"/>
              </w:rPr>
            </w:pPr>
            <w:r>
              <w:rPr>
                <w:color w:val="000000"/>
              </w:rPr>
              <w:t>20</w:t>
            </w:r>
          </w:p>
        </w:tc>
        <w:tc>
          <w:tcPr>
            <w:tcW w:w="5959" w:type="dxa"/>
            <w:tcBorders>
              <w:top w:val="nil"/>
              <w:left w:val="nil"/>
              <w:bottom w:val="single" w:sz="4" w:space="0" w:color="000000"/>
              <w:right w:val="single" w:sz="4" w:space="0" w:color="000000"/>
            </w:tcBorders>
            <w:shd w:val="clear" w:color="auto" w:fill="auto"/>
            <w:vAlign w:val="center"/>
          </w:tcPr>
          <w:p w14:paraId="31787CB6" w14:textId="77777777" w:rsidR="00817793" w:rsidRDefault="002719FC">
            <w:pPr>
              <w:spacing w:before="120" w:after="120" w:line="240" w:lineRule="auto"/>
              <w:jc w:val="left"/>
              <w:rPr>
                <w:color w:val="000000"/>
              </w:rPr>
            </w:pPr>
            <w:r>
              <w:rPr>
                <w:color w:val="000000"/>
              </w:rPr>
              <w:t>O impacto orçamentário incremental dos cenários alternativos em relação ao cenário de referência é apresentado de forma clara, a cada ano e acumulado nos cinco anos.</w:t>
            </w:r>
          </w:p>
        </w:tc>
        <w:tc>
          <w:tcPr>
            <w:tcW w:w="850" w:type="dxa"/>
            <w:tcBorders>
              <w:top w:val="nil"/>
              <w:left w:val="nil"/>
              <w:bottom w:val="single" w:sz="4" w:space="0" w:color="000000"/>
              <w:right w:val="single" w:sz="4" w:space="0" w:color="000000"/>
            </w:tcBorders>
            <w:shd w:val="clear" w:color="auto" w:fill="auto"/>
            <w:vAlign w:val="center"/>
          </w:tcPr>
          <w:p w14:paraId="53129FD4"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01A7268"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752F30A4"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3048BA75"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793568E" w14:textId="77777777" w:rsidR="00817793" w:rsidRDefault="00817793">
            <w:pPr>
              <w:spacing w:before="120" w:after="120" w:line="240" w:lineRule="auto"/>
              <w:jc w:val="center"/>
              <w:rPr>
                <w:color w:val="000000"/>
              </w:rPr>
            </w:pPr>
          </w:p>
        </w:tc>
      </w:tr>
      <w:tr w:rsidR="00817793" w14:paraId="7632D0EA" w14:textId="77777777">
        <w:trPr>
          <w:trHeight w:val="799"/>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4B2B5706" w14:textId="77777777" w:rsidR="00817793" w:rsidRDefault="002719FC">
            <w:pPr>
              <w:spacing w:before="120" w:after="120" w:line="240" w:lineRule="auto"/>
              <w:jc w:val="left"/>
              <w:rPr>
                <w:color w:val="000000"/>
              </w:rPr>
            </w:pPr>
            <w:r>
              <w:rPr>
                <w:color w:val="000000"/>
              </w:rPr>
              <w:t>Análise de sensibilidade</w:t>
            </w:r>
          </w:p>
        </w:tc>
        <w:tc>
          <w:tcPr>
            <w:tcW w:w="1134" w:type="dxa"/>
            <w:tcBorders>
              <w:top w:val="nil"/>
              <w:left w:val="nil"/>
              <w:bottom w:val="single" w:sz="4" w:space="0" w:color="000000"/>
              <w:right w:val="single" w:sz="4" w:space="0" w:color="000000"/>
            </w:tcBorders>
            <w:shd w:val="clear" w:color="auto" w:fill="auto"/>
            <w:vAlign w:val="center"/>
          </w:tcPr>
          <w:p w14:paraId="6C375A72" w14:textId="77777777" w:rsidR="00817793" w:rsidRDefault="002719FC">
            <w:pPr>
              <w:spacing w:before="120" w:after="120" w:line="240" w:lineRule="auto"/>
              <w:jc w:val="center"/>
              <w:rPr>
                <w:color w:val="000000"/>
              </w:rPr>
            </w:pPr>
            <w:r>
              <w:rPr>
                <w:color w:val="000000"/>
              </w:rPr>
              <w:t>21</w:t>
            </w:r>
          </w:p>
        </w:tc>
        <w:tc>
          <w:tcPr>
            <w:tcW w:w="5959" w:type="dxa"/>
            <w:tcBorders>
              <w:top w:val="nil"/>
              <w:left w:val="nil"/>
              <w:bottom w:val="single" w:sz="4" w:space="0" w:color="000000"/>
              <w:right w:val="single" w:sz="4" w:space="0" w:color="000000"/>
            </w:tcBorders>
            <w:shd w:val="clear" w:color="auto" w:fill="auto"/>
            <w:vAlign w:val="center"/>
          </w:tcPr>
          <w:p w14:paraId="08ECCE60" w14:textId="77777777" w:rsidR="00817793" w:rsidRDefault="002719FC">
            <w:pPr>
              <w:spacing w:before="120" w:after="120" w:line="240" w:lineRule="auto"/>
              <w:jc w:val="left"/>
              <w:rPr>
                <w:color w:val="000000"/>
              </w:rPr>
            </w:pPr>
            <w:r>
              <w:rPr>
                <w:color w:val="000000"/>
              </w:rPr>
              <w:t>A análise de sensibilidade (se houver) é apresentada de forma clara e considera todos os parâmetros relevantes, tais como população-alvo, quotas de mercado, custo de tecnologias, ocorrência de eventos relevantes (eventos adversos e tempo/custo hospitalização).</w:t>
            </w:r>
          </w:p>
        </w:tc>
        <w:tc>
          <w:tcPr>
            <w:tcW w:w="850" w:type="dxa"/>
            <w:tcBorders>
              <w:top w:val="nil"/>
              <w:left w:val="nil"/>
              <w:bottom w:val="single" w:sz="4" w:space="0" w:color="000000"/>
              <w:right w:val="single" w:sz="4" w:space="0" w:color="000000"/>
            </w:tcBorders>
            <w:shd w:val="clear" w:color="auto" w:fill="auto"/>
            <w:vAlign w:val="center"/>
          </w:tcPr>
          <w:p w14:paraId="759C4941"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081CEB47"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54D4AFED"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0FBA7733"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506B019F" w14:textId="77777777" w:rsidR="00817793" w:rsidRDefault="00817793">
            <w:pPr>
              <w:spacing w:before="120" w:after="120" w:line="240" w:lineRule="auto"/>
              <w:jc w:val="center"/>
              <w:rPr>
                <w:color w:val="000000"/>
              </w:rPr>
            </w:pPr>
          </w:p>
        </w:tc>
      </w:tr>
      <w:tr w:rsidR="00817793" w14:paraId="70468C36"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5170C930" w14:textId="77777777" w:rsidR="00817793" w:rsidRDefault="002719FC">
            <w:pPr>
              <w:spacing w:before="120" w:after="120" w:line="240" w:lineRule="auto"/>
              <w:jc w:val="left"/>
              <w:rPr>
                <w:b/>
              </w:rPr>
            </w:pPr>
            <w:r>
              <w:rPr>
                <w:b/>
              </w:rPr>
              <w:t>Considerações finais</w:t>
            </w:r>
          </w:p>
        </w:tc>
      </w:tr>
      <w:tr w:rsidR="00817793" w14:paraId="7EDB1B4C"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08759AE6" w14:textId="77777777" w:rsidR="00817793" w:rsidRDefault="002719FC">
            <w:pPr>
              <w:spacing w:before="120" w:after="120" w:line="240" w:lineRule="auto"/>
              <w:jc w:val="left"/>
              <w:rPr>
                <w:color w:val="000000"/>
              </w:rPr>
            </w:pPr>
            <w:r>
              <w:rPr>
                <w:color w:val="000000"/>
              </w:rPr>
              <w:t>Discussão</w:t>
            </w:r>
          </w:p>
        </w:tc>
        <w:tc>
          <w:tcPr>
            <w:tcW w:w="1134" w:type="dxa"/>
            <w:tcBorders>
              <w:top w:val="nil"/>
              <w:left w:val="nil"/>
              <w:bottom w:val="single" w:sz="4" w:space="0" w:color="000000"/>
              <w:right w:val="single" w:sz="4" w:space="0" w:color="000000"/>
            </w:tcBorders>
            <w:shd w:val="clear" w:color="auto" w:fill="auto"/>
            <w:vAlign w:val="center"/>
          </w:tcPr>
          <w:p w14:paraId="43538BBD" w14:textId="77777777" w:rsidR="00817793" w:rsidRDefault="002719FC">
            <w:pPr>
              <w:spacing w:before="120" w:after="120" w:line="240" w:lineRule="auto"/>
              <w:jc w:val="center"/>
              <w:rPr>
                <w:color w:val="000000"/>
              </w:rPr>
            </w:pPr>
            <w:r>
              <w:rPr>
                <w:color w:val="000000"/>
              </w:rPr>
              <w:t>22</w:t>
            </w:r>
          </w:p>
        </w:tc>
        <w:tc>
          <w:tcPr>
            <w:tcW w:w="5959" w:type="dxa"/>
            <w:tcBorders>
              <w:top w:val="nil"/>
              <w:left w:val="nil"/>
              <w:bottom w:val="single" w:sz="4" w:space="0" w:color="000000"/>
              <w:right w:val="single" w:sz="4" w:space="0" w:color="000000"/>
            </w:tcBorders>
            <w:shd w:val="clear" w:color="auto" w:fill="auto"/>
            <w:vAlign w:val="center"/>
          </w:tcPr>
          <w:p w14:paraId="7897DAA5" w14:textId="77777777" w:rsidR="00817793" w:rsidRDefault="002719FC">
            <w:pPr>
              <w:spacing w:before="120" w:after="120" w:line="240" w:lineRule="auto"/>
              <w:jc w:val="left"/>
              <w:rPr>
                <w:color w:val="000000"/>
              </w:rPr>
            </w:pPr>
            <w:r>
              <w:rPr>
                <w:color w:val="000000"/>
              </w:rPr>
              <w:t>São apresentadas considerações sobre as limitações do estudo, a aplicabilidade da análise e a generalização dos achados.</w:t>
            </w:r>
          </w:p>
        </w:tc>
        <w:tc>
          <w:tcPr>
            <w:tcW w:w="850" w:type="dxa"/>
            <w:tcBorders>
              <w:top w:val="nil"/>
              <w:left w:val="nil"/>
              <w:bottom w:val="single" w:sz="4" w:space="0" w:color="000000"/>
              <w:right w:val="single" w:sz="4" w:space="0" w:color="000000"/>
            </w:tcBorders>
            <w:shd w:val="clear" w:color="auto" w:fill="auto"/>
            <w:vAlign w:val="center"/>
          </w:tcPr>
          <w:p w14:paraId="4CA2B931"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4F7836D1"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478D7399"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1AB2B8F9"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3FBF0C5E" w14:textId="77777777" w:rsidR="00817793" w:rsidRDefault="00817793">
            <w:pPr>
              <w:spacing w:before="120" w:after="120" w:line="240" w:lineRule="auto"/>
              <w:jc w:val="center"/>
              <w:rPr>
                <w:color w:val="000000"/>
              </w:rPr>
            </w:pPr>
          </w:p>
        </w:tc>
      </w:tr>
      <w:tr w:rsidR="00817793" w14:paraId="66A6BDB5"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04FA86C5" w14:textId="77777777" w:rsidR="00817793" w:rsidRDefault="002719FC">
            <w:pPr>
              <w:spacing w:before="120" w:after="120" w:line="240" w:lineRule="auto"/>
              <w:jc w:val="left"/>
              <w:rPr>
                <w:color w:val="000000"/>
              </w:rPr>
            </w:pPr>
            <w:r>
              <w:rPr>
                <w:color w:val="000000"/>
              </w:rPr>
              <w:lastRenderedPageBreak/>
              <w:t>Conclusão</w:t>
            </w:r>
          </w:p>
        </w:tc>
        <w:tc>
          <w:tcPr>
            <w:tcW w:w="1134" w:type="dxa"/>
            <w:tcBorders>
              <w:top w:val="nil"/>
              <w:left w:val="nil"/>
              <w:bottom w:val="single" w:sz="4" w:space="0" w:color="000000"/>
              <w:right w:val="single" w:sz="4" w:space="0" w:color="000000"/>
            </w:tcBorders>
            <w:shd w:val="clear" w:color="auto" w:fill="auto"/>
            <w:vAlign w:val="center"/>
          </w:tcPr>
          <w:p w14:paraId="7A79C848" w14:textId="77777777" w:rsidR="00817793" w:rsidRDefault="002719FC">
            <w:pPr>
              <w:spacing w:before="120" w:after="120" w:line="240" w:lineRule="auto"/>
              <w:jc w:val="center"/>
              <w:rPr>
                <w:color w:val="000000"/>
              </w:rPr>
            </w:pPr>
            <w:r>
              <w:rPr>
                <w:color w:val="000000"/>
              </w:rPr>
              <w:t>23</w:t>
            </w:r>
          </w:p>
        </w:tc>
        <w:tc>
          <w:tcPr>
            <w:tcW w:w="5959" w:type="dxa"/>
            <w:tcBorders>
              <w:top w:val="nil"/>
              <w:left w:val="nil"/>
              <w:bottom w:val="single" w:sz="4" w:space="0" w:color="000000"/>
              <w:right w:val="single" w:sz="4" w:space="0" w:color="000000"/>
            </w:tcBorders>
            <w:shd w:val="clear" w:color="auto" w:fill="auto"/>
            <w:vAlign w:val="center"/>
          </w:tcPr>
          <w:p w14:paraId="1F256566" w14:textId="77777777" w:rsidR="00817793" w:rsidRDefault="002719FC">
            <w:pPr>
              <w:spacing w:before="120" w:after="120" w:line="240" w:lineRule="auto"/>
              <w:jc w:val="left"/>
              <w:rPr>
                <w:color w:val="000000"/>
              </w:rPr>
            </w:pPr>
            <w:r>
              <w:rPr>
                <w:color w:val="000000"/>
              </w:rPr>
              <w:t>A conclusão geral da análise reflete adequadamente os achados e apresenta recomendação quanto à incorporação da tecnologia.</w:t>
            </w:r>
          </w:p>
        </w:tc>
        <w:tc>
          <w:tcPr>
            <w:tcW w:w="850" w:type="dxa"/>
            <w:tcBorders>
              <w:top w:val="nil"/>
              <w:left w:val="nil"/>
              <w:bottom w:val="single" w:sz="4" w:space="0" w:color="000000"/>
              <w:right w:val="single" w:sz="4" w:space="0" w:color="000000"/>
            </w:tcBorders>
            <w:shd w:val="clear" w:color="auto" w:fill="auto"/>
            <w:vAlign w:val="center"/>
          </w:tcPr>
          <w:p w14:paraId="43BB617F"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7896E9D9"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B319C6E"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1DCF0334"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2E780729" w14:textId="77777777" w:rsidR="00817793" w:rsidRDefault="00817793">
            <w:pPr>
              <w:spacing w:before="120" w:after="120" w:line="240" w:lineRule="auto"/>
              <w:jc w:val="center"/>
              <w:rPr>
                <w:color w:val="000000"/>
              </w:rPr>
            </w:pPr>
          </w:p>
        </w:tc>
      </w:tr>
    </w:tbl>
    <w:p w14:paraId="7118DC78" w14:textId="77777777" w:rsidR="00817793" w:rsidRDefault="002719FC">
      <w:r>
        <w:br w:type="page"/>
      </w:r>
    </w:p>
    <w:tbl>
      <w:tblPr>
        <w:tblStyle w:val="affff8"/>
        <w:tblW w:w="13471" w:type="dxa"/>
        <w:jc w:val="center"/>
        <w:tblInd w:w="0" w:type="dxa"/>
        <w:tblLayout w:type="fixed"/>
        <w:tblLook w:val="0400" w:firstRow="0" w:lastRow="0" w:firstColumn="0" w:lastColumn="0" w:noHBand="0" w:noVBand="1"/>
      </w:tblPr>
      <w:tblGrid>
        <w:gridCol w:w="2233"/>
        <w:gridCol w:w="1134"/>
        <w:gridCol w:w="5959"/>
        <w:gridCol w:w="850"/>
        <w:gridCol w:w="851"/>
        <w:gridCol w:w="887"/>
        <w:gridCol w:w="814"/>
        <w:gridCol w:w="743"/>
      </w:tblGrid>
      <w:tr w:rsidR="00817793" w14:paraId="2C2FC550" w14:textId="77777777">
        <w:trPr>
          <w:trHeight w:val="762"/>
          <w:jc w:val="center"/>
        </w:trPr>
        <w:tc>
          <w:tcPr>
            <w:tcW w:w="223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7389FF8A" w14:textId="77777777" w:rsidR="00817793" w:rsidRDefault="002719FC">
            <w:pPr>
              <w:spacing w:before="120" w:after="120" w:line="240" w:lineRule="auto"/>
              <w:jc w:val="center"/>
              <w:rPr>
                <w:b/>
              </w:rPr>
            </w:pPr>
            <w:r>
              <w:rPr>
                <w:b/>
              </w:rPr>
              <w:lastRenderedPageBreak/>
              <w:t>Seção/Item</w:t>
            </w:r>
          </w:p>
        </w:tc>
        <w:tc>
          <w:tcPr>
            <w:tcW w:w="1134"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68294BD1" w14:textId="77777777" w:rsidR="00817793" w:rsidRDefault="002719FC">
            <w:pPr>
              <w:spacing w:before="120" w:after="120" w:line="240" w:lineRule="auto"/>
              <w:jc w:val="center"/>
              <w:rPr>
                <w:b/>
              </w:rPr>
            </w:pPr>
            <w:r>
              <w:rPr>
                <w:b/>
              </w:rPr>
              <w:t>Item n°</w:t>
            </w:r>
          </w:p>
        </w:tc>
        <w:tc>
          <w:tcPr>
            <w:tcW w:w="5959"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05C2D9D2" w14:textId="77777777" w:rsidR="00817793" w:rsidRDefault="002719FC">
            <w:pPr>
              <w:spacing w:before="120" w:after="120" w:line="240" w:lineRule="auto"/>
              <w:jc w:val="center"/>
              <w:rPr>
                <w:b/>
              </w:rPr>
            </w:pPr>
            <w:r>
              <w:rPr>
                <w:b/>
              </w:rPr>
              <w:t>Conteúdo para verificação</w:t>
            </w:r>
          </w:p>
        </w:tc>
        <w:tc>
          <w:tcPr>
            <w:tcW w:w="850"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6190EA3E" w14:textId="77777777" w:rsidR="00817793" w:rsidRDefault="002719FC">
            <w:pPr>
              <w:spacing w:before="120" w:after="120" w:line="240" w:lineRule="auto"/>
              <w:jc w:val="center"/>
              <w:rPr>
                <w:b/>
              </w:rPr>
            </w:pPr>
            <w:r>
              <w:rPr>
                <w:b/>
              </w:rPr>
              <w:t>Sim</w:t>
            </w:r>
          </w:p>
        </w:tc>
        <w:tc>
          <w:tcPr>
            <w:tcW w:w="85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1634464" w14:textId="77777777" w:rsidR="00817793" w:rsidRDefault="002719FC">
            <w:pPr>
              <w:spacing w:before="120" w:after="120" w:line="240" w:lineRule="auto"/>
              <w:jc w:val="center"/>
              <w:rPr>
                <w:b/>
              </w:rPr>
            </w:pPr>
            <w:r>
              <w:rPr>
                <w:b/>
              </w:rPr>
              <w:t>Não</w:t>
            </w:r>
          </w:p>
        </w:tc>
        <w:tc>
          <w:tcPr>
            <w:tcW w:w="887"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7F05FD8F" w14:textId="77777777" w:rsidR="00817793" w:rsidRDefault="002719FC">
            <w:pPr>
              <w:spacing w:before="120" w:after="120" w:line="240" w:lineRule="auto"/>
              <w:jc w:val="center"/>
              <w:rPr>
                <w:b/>
              </w:rPr>
            </w:pPr>
            <w:r>
              <w:rPr>
                <w:b/>
              </w:rPr>
              <w:t>Parcial</w:t>
            </w:r>
          </w:p>
        </w:tc>
        <w:tc>
          <w:tcPr>
            <w:tcW w:w="814"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000CF56C" w14:textId="77777777" w:rsidR="00817793" w:rsidRDefault="002719FC">
            <w:pPr>
              <w:spacing w:before="120" w:after="120" w:line="240" w:lineRule="auto"/>
              <w:jc w:val="center"/>
              <w:rPr>
                <w:b/>
              </w:rPr>
            </w:pPr>
            <w:r>
              <w:rPr>
                <w:b/>
              </w:rPr>
              <w:t>NA</w:t>
            </w:r>
          </w:p>
        </w:tc>
        <w:tc>
          <w:tcPr>
            <w:tcW w:w="743"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3A4C6BC" w14:textId="77777777" w:rsidR="00817793" w:rsidRDefault="002719FC">
            <w:pPr>
              <w:spacing w:before="120" w:after="120" w:line="240" w:lineRule="auto"/>
              <w:jc w:val="center"/>
              <w:rPr>
                <w:b/>
              </w:rPr>
            </w:pPr>
            <w:proofErr w:type="spellStart"/>
            <w:r>
              <w:rPr>
                <w:b/>
              </w:rPr>
              <w:t>Pág.nº</w:t>
            </w:r>
            <w:proofErr w:type="spellEnd"/>
          </w:p>
        </w:tc>
      </w:tr>
      <w:tr w:rsidR="00817793" w14:paraId="4D65AE4C" w14:textId="77777777">
        <w:trPr>
          <w:trHeight w:val="525"/>
          <w:jc w:val="center"/>
        </w:trPr>
        <w:tc>
          <w:tcPr>
            <w:tcW w:w="13471" w:type="dxa"/>
            <w:gridSpan w:val="8"/>
            <w:tcBorders>
              <w:top w:val="single" w:sz="4" w:space="0" w:color="000000"/>
              <w:left w:val="single" w:sz="4" w:space="0" w:color="000000"/>
              <w:bottom w:val="single" w:sz="4" w:space="0" w:color="000000"/>
              <w:right w:val="single" w:sz="4" w:space="0" w:color="000000"/>
            </w:tcBorders>
            <w:shd w:val="clear" w:color="auto" w:fill="D9E1F2"/>
            <w:vAlign w:val="center"/>
          </w:tcPr>
          <w:p w14:paraId="63AD4F25" w14:textId="77777777" w:rsidR="00817793" w:rsidRDefault="002719FC">
            <w:pPr>
              <w:spacing w:before="120" w:after="120" w:line="240" w:lineRule="auto"/>
              <w:jc w:val="left"/>
              <w:rPr>
                <w:b/>
              </w:rPr>
            </w:pPr>
            <w:r>
              <w:rPr>
                <w:b/>
              </w:rPr>
              <w:t>Outros</w:t>
            </w:r>
          </w:p>
        </w:tc>
      </w:tr>
      <w:tr w:rsidR="00817793" w14:paraId="733240EE"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6B0CBE87" w14:textId="77777777" w:rsidR="00817793" w:rsidRDefault="002719FC">
            <w:pPr>
              <w:spacing w:before="120" w:after="120" w:line="240" w:lineRule="auto"/>
              <w:jc w:val="left"/>
              <w:rPr>
                <w:color w:val="000000"/>
              </w:rPr>
            </w:pPr>
            <w:r>
              <w:rPr>
                <w:color w:val="000000"/>
              </w:rPr>
              <w:t>Conflito de interesse</w:t>
            </w:r>
          </w:p>
        </w:tc>
        <w:tc>
          <w:tcPr>
            <w:tcW w:w="1134" w:type="dxa"/>
            <w:tcBorders>
              <w:top w:val="nil"/>
              <w:left w:val="nil"/>
              <w:bottom w:val="single" w:sz="4" w:space="0" w:color="000000"/>
              <w:right w:val="single" w:sz="4" w:space="0" w:color="000000"/>
            </w:tcBorders>
            <w:shd w:val="clear" w:color="auto" w:fill="auto"/>
            <w:vAlign w:val="center"/>
          </w:tcPr>
          <w:p w14:paraId="51641038" w14:textId="77777777" w:rsidR="00817793" w:rsidRDefault="002719FC">
            <w:pPr>
              <w:spacing w:before="120" w:after="120" w:line="240" w:lineRule="auto"/>
              <w:jc w:val="center"/>
              <w:rPr>
                <w:color w:val="000000"/>
              </w:rPr>
            </w:pPr>
            <w:r>
              <w:rPr>
                <w:color w:val="000000"/>
              </w:rPr>
              <w:t>24</w:t>
            </w:r>
          </w:p>
        </w:tc>
        <w:tc>
          <w:tcPr>
            <w:tcW w:w="5959" w:type="dxa"/>
            <w:tcBorders>
              <w:top w:val="nil"/>
              <w:left w:val="nil"/>
              <w:bottom w:val="single" w:sz="4" w:space="0" w:color="000000"/>
              <w:right w:val="single" w:sz="4" w:space="0" w:color="000000"/>
            </w:tcBorders>
            <w:shd w:val="clear" w:color="auto" w:fill="auto"/>
            <w:vAlign w:val="center"/>
          </w:tcPr>
          <w:p w14:paraId="516A874D" w14:textId="77777777" w:rsidR="00817793" w:rsidRDefault="002719FC">
            <w:pPr>
              <w:spacing w:before="120" w:after="120" w:line="240" w:lineRule="auto"/>
              <w:jc w:val="left"/>
              <w:rPr>
                <w:color w:val="000000"/>
              </w:rPr>
            </w:pPr>
            <w:r>
              <w:rPr>
                <w:color w:val="000000"/>
              </w:rPr>
              <w:t>O potencial conflito de interesse financeiro e não financeiro dos autores do estudo é declarado de forma clara.</w:t>
            </w:r>
          </w:p>
        </w:tc>
        <w:tc>
          <w:tcPr>
            <w:tcW w:w="850" w:type="dxa"/>
            <w:tcBorders>
              <w:top w:val="nil"/>
              <w:left w:val="nil"/>
              <w:bottom w:val="single" w:sz="4" w:space="0" w:color="000000"/>
              <w:right w:val="single" w:sz="4" w:space="0" w:color="000000"/>
            </w:tcBorders>
            <w:shd w:val="clear" w:color="auto" w:fill="auto"/>
            <w:vAlign w:val="center"/>
          </w:tcPr>
          <w:p w14:paraId="7876FC12" w14:textId="77777777" w:rsidR="00817793" w:rsidRDefault="00817793">
            <w:pPr>
              <w:spacing w:before="120" w:after="120" w:line="240" w:lineRule="auto"/>
              <w:jc w:val="center"/>
              <w:rPr>
                <w:color w:val="000000"/>
              </w:rPr>
            </w:pPr>
          </w:p>
        </w:tc>
        <w:tc>
          <w:tcPr>
            <w:tcW w:w="851" w:type="dxa"/>
            <w:tcBorders>
              <w:top w:val="nil"/>
              <w:left w:val="nil"/>
              <w:bottom w:val="single" w:sz="4" w:space="0" w:color="000000"/>
              <w:right w:val="single" w:sz="4" w:space="0" w:color="000000"/>
            </w:tcBorders>
            <w:shd w:val="clear" w:color="auto" w:fill="auto"/>
            <w:vAlign w:val="center"/>
          </w:tcPr>
          <w:p w14:paraId="35703EDE"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5E86F948"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6FB58D13" w14:textId="77777777" w:rsidR="00817793" w:rsidRDefault="002719FC">
            <w:pPr>
              <w:spacing w:before="120" w:after="120" w:line="240" w:lineRule="auto"/>
              <w:jc w:val="center"/>
              <w:rPr>
                <w:color w:val="000000"/>
              </w:rPr>
            </w:pPr>
            <w:r>
              <w:rPr>
                <w:color w:val="000000"/>
              </w:rPr>
              <w:t>x</w:t>
            </w:r>
          </w:p>
        </w:tc>
        <w:tc>
          <w:tcPr>
            <w:tcW w:w="743" w:type="dxa"/>
            <w:tcBorders>
              <w:top w:val="nil"/>
              <w:left w:val="nil"/>
              <w:bottom w:val="single" w:sz="4" w:space="0" w:color="000000"/>
              <w:right w:val="single" w:sz="4" w:space="0" w:color="000000"/>
            </w:tcBorders>
            <w:shd w:val="clear" w:color="auto" w:fill="auto"/>
            <w:vAlign w:val="center"/>
          </w:tcPr>
          <w:p w14:paraId="1946BE5E" w14:textId="77777777" w:rsidR="00817793" w:rsidRDefault="00817793">
            <w:pPr>
              <w:spacing w:before="120" w:after="120" w:line="240" w:lineRule="auto"/>
              <w:jc w:val="center"/>
              <w:rPr>
                <w:color w:val="000000"/>
              </w:rPr>
            </w:pPr>
          </w:p>
        </w:tc>
      </w:tr>
      <w:tr w:rsidR="00817793" w14:paraId="1F155FCF"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61D67F94" w14:textId="77777777" w:rsidR="00817793" w:rsidRDefault="002719FC">
            <w:pPr>
              <w:spacing w:before="120" w:after="120" w:line="240" w:lineRule="auto"/>
              <w:jc w:val="left"/>
              <w:rPr>
                <w:color w:val="000000"/>
              </w:rPr>
            </w:pPr>
            <w:r>
              <w:rPr>
                <w:color w:val="000000"/>
              </w:rPr>
              <w:t>Referências</w:t>
            </w:r>
          </w:p>
        </w:tc>
        <w:tc>
          <w:tcPr>
            <w:tcW w:w="1134" w:type="dxa"/>
            <w:tcBorders>
              <w:top w:val="nil"/>
              <w:left w:val="nil"/>
              <w:bottom w:val="single" w:sz="4" w:space="0" w:color="000000"/>
              <w:right w:val="single" w:sz="4" w:space="0" w:color="000000"/>
            </w:tcBorders>
            <w:shd w:val="clear" w:color="auto" w:fill="auto"/>
            <w:vAlign w:val="center"/>
          </w:tcPr>
          <w:p w14:paraId="2AFCDB24" w14:textId="77777777" w:rsidR="00817793" w:rsidRDefault="002719FC">
            <w:pPr>
              <w:spacing w:before="120" w:after="120" w:line="240" w:lineRule="auto"/>
              <w:jc w:val="center"/>
              <w:rPr>
                <w:color w:val="000000"/>
              </w:rPr>
            </w:pPr>
            <w:r>
              <w:rPr>
                <w:color w:val="000000"/>
              </w:rPr>
              <w:t>25</w:t>
            </w:r>
          </w:p>
        </w:tc>
        <w:tc>
          <w:tcPr>
            <w:tcW w:w="5959" w:type="dxa"/>
            <w:tcBorders>
              <w:top w:val="nil"/>
              <w:left w:val="nil"/>
              <w:bottom w:val="single" w:sz="4" w:space="0" w:color="000000"/>
              <w:right w:val="single" w:sz="4" w:space="0" w:color="000000"/>
            </w:tcBorders>
            <w:shd w:val="clear" w:color="auto" w:fill="auto"/>
            <w:vAlign w:val="center"/>
          </w:tcPr>
          <w:p w14:paraId="0B24281F" w14:textId="77777777" w:rsidR="00817793" w:rsidRDefault="002719FC">
            <w:pPr>
              <w:spacing w:before="120" w:after="120" w:line="240" w:lineRule="auto"/>
              <w:jc w:val="left"/>
              <w:rPr>
                <w:color w:val="000000"/>
              </w:rPr>
            </w:pPr>
            <w:r>
              <w:rPr>
                <w:color w:val="000000"/>
              </w:rPr>
              <w:t>As referências bibliográficas utilizadas no estudo são apresentadas.</w:t>
            </w:r>
          </w:p>
        </w:tc>
        <w:tc>
          <w:tcPr>
            <w:tcW w:w="850" w:type="dxa"/>
            <w:tcBorders>
              <w:top w:val="nil"/>
              <w:left w:val="nil"/>
              <w:bottom w:val="single" w:sz="4" w:space="0" w:color="000000"/>
              <w:right w:val="single" w:sz="4" w:space="0" w:color="000000"/>
            </w:tcBorders>
            <w:shd w:val="clear" w:color="auto" w:fill="auto"/>
            <w:vAlign w:val="center"/>
          </w:tcPr>
          <w:p w14:paraId="5626C1C2"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51C34A15"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7E051CA8"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126953D2"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1E5BF58C" w14:textId="77777777" w:rsidR="00817793" w:rsidRDefault="00817793">
            <w:pPr>
              <w:spacing w:before="120" w:after="120" w:line="240" w:lineRule="auto"/>
              <w:jc w:val="center"/>
              <w:rPr>
                <w:color w:val="000000"/>
              </w:rPr>
            </w:pPr>
          </w:p>
        </w:tc>
      </w:tr>
      <w:tr w:rsidR="00817793" w14:paraId="5BB701FC" w14:textId="77777777">
        <w:trPr>
          <w:trHeight w:val="762"/>
          <w:jc w:val="center"/>
        </w:trPr>
        <w:tc>
          <w:tcPr>
            <w:tcW w:w="2233" w:type="dxa"/>
            <w:tcBorders>
              <w:top w:val="nil"/>
              <w:left w:val="single" w:sz="4" w:space="0" w:color="000000"/>
              <w:bottom w:val="single" w:sz="4" w:space="0" w:color="000000"/>
              <w:right w:val="single" w:sz="4" w:space="0" w:color="000000"/>
            </w:tcBorders>
            <w:shd w:val="clear" w:color="auto" w:fill="auto"/>
            <w:vAlign w:val="center"/>
          </w:tcPr>
          <w:p w14:paraId="27071AA0" w14:textId="77777777" w:rsidR="00817793" w:rsidRDefault="002719FC">
            <w:pPr>
              <w:spacing w:before="120" w:after="120" w:line="240" w:lineRule="auto"/>
              <w:jc w:val="left"/>
              <w:rPr>
                <w:color w:val="000000"/>
              </w:rPr>
            </w:pPr>
            <w:r>
              <w:rPr>
                <w:color w:val="000000"/>
              </w:rPr>
              <w:t>Planilha de AIO</w:t>
            </w:r>
          </w:p>
        </w:tc>
        <w:tc>
          <w:tcPr>
            <w:tcW w:w="1134" w:type="dxa"/>
            <w:tcBorders>
              <w:top w:val="nil"/>
              <w:left w:val="nil"/>
              <w:bottom w:val="single" w:sz="4" w:space="0" w:color="000000"/>
              <w:right w:val="single" w:sz="4" w:space="0" w:color="000000"/>
            </w:tcBorders>
            <w:shd w:val="clear" w:color="auto" w:fill="auto"/>
            <w:vAlign w:val="center"/>
          </w:tcPr>
          <w:p w14:paraId="771397B0" w14:textId="77777777" w:rsidR="00817793" w:rsidRDefault="002719FC">
            <w:pPr>
              <w:spacing w:before="120" w:after="120" w:line="240" w:lineRule="auto"/>
              <w:jc w:val="center"/>
              <w:rPr>
                <w:color w:val="000000"/>
              </w:rPr>
            </w:pPr>
            <w:r>
              <w:rPr>
                <w:color w:val="000000"/>
              </w:rPr>
              <w:t>26</w:t>
            </w:r>
          </w:p>
        </w:tc>
        <w:tc>
          <w:tcPr>
            <w:tcW w:w="5959" w:type="dxa"/>
            <w:tcBorders>
              <w:top w:val="nil"/>
              <w:left w:val="nil"/>
              <w:bottom w:val="single" w:sz="4" w:space="0" w:color="000000"/>
              <w:right w:val="single" w:sz="4" w:space="0" w:color="000000"/>
            </w:tcBorders>
            <w:shd w:val="clear" w:color="auto" w:fill="auto"/>
            <w:vAlign w:val="center"/>
          </w:tcPr>
          <w:p w14:paraId="6A73BABC" w14:textId="77777777" w:rsidR="00817793" w:rsidRDefault="002719FC">
            <w:pPr>
              <w:spacing w:before="120" w:after="120" w:line="240" w:lineRule="auto"/>
              <w:jc w:val="left"/>
              <w:rPr>
                <w:color w:val="000000"/>
              </w:rPr>
            </w:pPr>
            <w:r>
              <w:rPr>
                <w:color w:val="000000"/>
              </w:rPr>
              <w:t>A planilha utilizada no estudo é apresentada na íntegra e é reprodutível.</w:t>
            </w:r>
          </w:p>
        </w:tc>
        <w:tc>
          <w:tcPr>
            <w:tcW w:w="850" w:type="dxa"/>
            <w:tcBorders>
              <w:top w:val="nil"/>
              <w:left w:val="nil"/>
              <w:bottom w:val="single" w:sz="4" w:space="0" w:color="000000"/>
              <w:right w:val="single" w:sz="4" w:space="0" w:color="000000"/>
            </w:tcBorders>
            <w:shd w:val="clear" w:color="auto" w:fill="auto"/>
            <w:vAlign w:val="center"/>
          </w:tcPr>
          <w:p w14:paraId="64BCFF2A" w14:textId="77777777" w:rsidR="00817793" w:rsidRDefault="002719FC">
            <w:pPr>
              <w:spacing w:before="120" w:after="120" w:line="240" w:lineRule="auto"/>
              <w:jc w:val="center"/>
              <w:rPr>
                <w:color w:val="000000"/>
              </w:rPr>
            </w:pPr>
            <w:r>
              <w:t>X</w:t>
            </w:r>
          </w:p>
        </w:tc>
        <w:tc>
          <w:tcPr>
            <w:tcW w:w="851" w:type="dxa"/>
            <w:tcBorders>
              <w:top w:val="nil"/>
              <w:left w:val="nil"/>
              <w:bottom w:val="single" w:sz="4" w:space="0" w:color="000000"/>
              <w:right w:val="single" w:sz="4" w:space="0" w:color="000000"/>
            </w:tcBorders>
            <w:shd w:val="clear" w:color="auto" w:fill="auto"/>
            <w:vAlign w:val="center"/>
          </w:tcPr>
          <w:p w14:paraId="053A08E0" w14:textId="77777777" w:rsidR="00817793" w:rsidRDefault="00817793">
            <w:pPr>
              <w:spacing w:before="120" w:after="120" w:line="240" w:lineRule="auto"/>
              <w:jc w:val="center"/>
              <w:rPr>
                <w:color w:val="000000"/>
              </w:rPr>
            </w:pPr>
          </w:p>
        </w:tc>
        <w:tc>
          <w:tcPr>
            <w:tcW w:w="887" w:type="dxa"/>
            <w:tcBorders>
              <w:top w:val="nil"/>
              <w:left w:val="nil"/>
              <w:bottom w:val="single" w:sz="4" w:space="0" w:color="000000"/>
              <w:right w:val="single" w:sz="4" w:space="0" w:color="000000"/>
            </w:tcBorders>
            <w:shd w:val="clear" w:color="auto" w:fill="auto"/>
            <w:vAlign w:val="center"/>
          </w:tcPr>
          <w:p w14:paraId="1674D195" w14:textId="77777777" w:rsidR="00817793" w:rsidRDefault="00817793">
            <w:pPr>
              <w:spacing w:before="120" w:after="120" w:line="240" w:lineRule="auto"/>
              <w:jc w:val="center"/>
              <w:rPr>
                <w:color w:val="000000"/>
              </w:rPr>
            </w:pPr>
          </w:p>
        </w:tc>
        <w:tc>
          <w:tcPr>
            <w:tcW w:w="814" w:type="dxa"/>
            <w:tcBorders>
              <w:top w:val="nil"/>
              <w:left w:val="nil"/>
              <w:bottom w:val="single" w:sz="4" w:space="0" w:color="000000"/>
              <w:right w:val="single" w:sz="4" w:space="0" w:color="000000"/>
            </w:tcBorders>
            <w:shd w:val="clear" w:color="auto" w:fill="auto"/>
            <w:vAlign w:val="center"/>
          </w:tcPr>
          <w:p w14:paraId="3C72A837" w14:textId="77777777" w:rsidR="00817793" w:rsidRDefault="00817793">
            <w:pPr>
              <w:spacing w:before="120" w:after="120" w:line="240" w:lineRule="auto"/>
              <w:jc w:val="center"/>
              <w:rPr>
                <w:color w:val="000000"/>
              </w:rPr>
            </w:pPr>
          </w:p>
        </w:tc>
        <w:tc>
          <w:tcPr>
            <w:tcW w:w="743" w:type="dxa"/>
            <w:tcBorders>
              <w:top w:val="nil"/>
              <w:left w:val="nil"/>
              <w:bottom w:val="single" w:sz="4" w:space="0" w:color="000000"/>
              <w:right w:val="single" w:sz="4" w:space="0" w:color="000000"/>
            </w:tcBorders>
            <w:shd w:val="clear" w:color="auto" w:fill="auto"/>
            <w:vAlign w:val="center"/>
          </w:tcPr>
          <w:p w14:paraId="7A9A139D" w14:textId="77777777" w:rsidR="00817793" w:rsidRDefault="00817793">
            <w:pPr>
              <w:spacing w:before="120" w:after="120" w:line="240" w:lineRule="auto"/>
              <w:jc w:val="center"/>
              <w:rPr>
                <w:color w:val="000000"/>
              </w:rPr>
            </w:pPr>
          </w:p>
        </w:tc>
      </w:tr>
    </w:tbl>
    <w:p w14:paraId="1B8FEE78" w14:textId="77777777" w:rsidR="00817793" w:rsidRDefault="002719FC">
      <w:pPr>
        <w:spacing w:before="60" w:after="60" w:line="240" w:lineRule="auto"/>
        <w:jc w:val="left"/>
        <w:rPr>
          <w:i/>
          <w:color w:val="000000"/>
          <w:sz w:val="20"/>
          <w:szCs w:val="20"/>
        </w:rPr>
      </w:pPr>
      <w:r>
        <w:rPr>
          <w:i/>
          <w:color w:val="000000"/>
          <w:sz w:val="20"/>
          <w:szCs w:val="20"/>
        </w:rPr>
        <w:t>Fonte: Brasil, Ministério da Saúde, Secretaria de Ciência, Tecnologia e Insumos Estratégicos. Diretrizes metodológicas: análise de impacto orçamentário - manual para o SUS. Brasília, Ministério da Saúde, 2012 (adaptado).</w:t>
      </w:r>
    </w:p>
    <w:p w14:paraId="29DC85ED" w14:textId="77777777" w:rsidR="00817793" w:rsidRDefault="002719FC">
      <w:pPr>
        <w:spacing w:after="120" w:line="240" w:lineRule="auto"/>
        <w:jc w:val="left"/>
        <w:rPr>
          <w:b/>
          <w:color w:val="000000"/>
        </w:rPr>
      </w:pPr>
      <w:r>
        <w:rPr>
          <w:b/>
          <w:color w:val="000000"/>
        </w:rPr>
        <w:t>Justificativa para itens de verificação marcados como "Não" ou "Parcial" e observações gerais:</w:t>
      </w:r>
    </w:p>
    <w:tbl>
      <w:tblPr>
        <w:tblStyle w:val="affff9"/>
        <w:tblW w:w="13678" w:type="dxa"/>
        <w:tblInd w:w="-70" w:type="dxa"/>
        <w:tblLayout w:type="fixed"/>
        <w:tblLook w:val="0400" w:firstRow="0" w:lastRow="0" w:firstColumn="0" w:lastColumn="0" w:noHBand="0" w:noVBand="1"/>
      </w:tblPr>
      <w:tblGrid>
        <w:gridCol w:w="1271"/>
        <w:gridCol w:w="1701"/>
        <w:gridCol w:w="10706"/>
      </w:tblGrid>
      <w:tr w:rsidR="00817793" w14:paraId="79C60054" w14:textId="77777777">
        <w:trPr>
          <w:trHeight w:val="600"/>
        </w:trPr>
        <w:tc>
          <w:tcPr>
            <w:tcW w:w="1271"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00366338" w14:textId="77777777" w:rsidR="00817793" w:rsidRDefault="002719FC">
            <w:pPr>
              <w:spacing w:before="120" w:after="120" w:line="240" w:lineRule="auto"/>
              <w:jc w:val="center"/>
              <w:rPr>
                <w:b/>
              </w:rPr>
            </w:pPr>
            <w:r>
              <w:rPr>
                <w:b/>
              </w:rPr>
              <w:t>Item</w:t>
            </w:r>
          </w:p>
        </w:tc>
        <w:tc>
          <w:tcPr>
            <w:tcW w:w="1701" w:type="dxa"/>
            <w:tcBorders>
              <w:top w:val="single" w:sz="4" w:space="0" w:color="000000"/>
              <w:left w:val="nil"/>
              <w:bottom w:val="single" w:sz="4" w:space="0" w:color="000000"/>
              <w:right w:val="single" w:sz="4" w:space="0" w:color="000000"/>
            </w:tcBorders>
            <w:shd w:val="clear" w:color="auto" w:fill="B4C6E7"/>
            <w:vAlign w:val="center"/>
          </w:tcPr>
          <w:p w14:paraId="2FEDBF4A" w14:textId="77777777" w:rsidR="00817793" w:rsidRDefault="002719FC">
            <w:pPr>
              <w:spacing w:before="120" w:after="120" w:line="240" w:lineRule="auto"/>
              <w:jc w:val="center"/>
              <w:rPr>
                <w:b/>
              </w:rPr>
            </w:pPr>
            <w:r>
              <w:rPr>
                <w:b/>
              </w:rPr>
              <w:t>Julgamento</w:t>
            </w:r>
          </w:p>
        </w:tc>
        <w:tc>
          <w:tcPr>
            <w:tcW w:w="10706" w:type="dxa"/>
            <w:tcBorders>
              <w:top w:val="single" w:sz="4" w:space="0" w:color="000000"/>
              <w:left w:val="nil"/>
              <w:bottom w:val="single" w:sz="4" w:space="0" w:color="000000"/>
              <w:right w:val="single" w:sz="4" w:space="0" w:color="000000"/>
            </w:tcBorders>
            <w:shd w:val="clear" w:color="auto" w:fill="B4C6E7"/>
            <w:vAlign w:val="center"/>
          </w:tcPr>
          <w:p w14:paraId="40D0DD37" w14:textId="77777777" w:rsidR="00817793" w:rsidRDefault="002719FC">
            <w:pPr>
              <w:spacing w:before="120" w:after="120" w:line="240" w:lineRule="auto"/>
              <w:jc w:val="center"/>
              <w:rPr>
                <w:b/>
              </w:rPr>
            </w:pPr>
            <w:r>
              <w:rPr>
                <w:b/>
              </w:rPr>
              <w:t>Justificativas e observações</w:t>
            </w:r>
          </w:p>
        </w:tc>
      </w:tr>
      <w:tr w:rsidR="00817793" w14:paraId="37E6C631"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328F9" w14:textId="77777777" w:rsidR="00817793" w:rsidRDefault="002719FC">
            <w:pPr>
              <w:spacing w:before="120" w:after="120" w:line="240" w:lineRule="auto"/>
              <w:jc w:val="center"/>
            </w:pPr>
            <w:r>
              <w:t>2</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4BCCD09C" w14:textId="77777777" w:rsidR="00817793" w:rsidRDefault="002719FC">
            <w:pPr>
              <w:spacing w:before="120" w:after="120" w:line="240" w:lineRule="auto"/>
              <w:jc w:val="center"/>
            </w:pPr>
            <w:r>
              <w:t>Parcial</w:t>
            </w: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509D01E8" w14:textId="77777777" w:rsidR="00817793" w:rsidRDefault="002719FC">
            <w:pPr>
              <w:spacing w:before="120" w:after="120" w:line="240" w:lineRule="auto"/>
            </w:pPr>
            <w:r>
              <w:t xml:space="preserve">Não foi considerada somente a população em uso de terapia tripla para cálculo da população elegível. Porém, trata-se de análise conservadora e que mais se aproxima da realidade. Apesar de não seguir a sugestão de DUT, o cálculo da população utilizando o dado “Proporção com falha de corticosteroides” foi mantido e está sendo utilizada como marcador da proporção de pacientes que utilizam terapia tripla com altas doses de corticosteroides (intolerância ou falha ao tratamento). </w:t>
            </w:r>
          </w:p>
        </w:tc>
      </w:tr>
      <w:tr w:rsidR="00817793" w14:paraId="4C26A3A1"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A823A" w14:textId="77777777" w:rsidR="00817793" w:rsidRDefault="002719FC">
            <w:pPr>
              <w:spacing w:before="120" w:after="120" w:line="240" w:lineRule="auto"/>
              <w:jc w:val="center"/>
            </w:pPr>
            <w:r>
              <w:t>15</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11096DD3" w14:textId="77777777" w:rsidR="00817793" w:rsidRDefault="002719FC">
            <w:pPr>
              <w:spacing w:before="120" w:after="120" w:line="240" w:lineRule="auto"/>
              <w:jc w:val="center"/>
            </w:pPr>
            <w:r>
              <w:t>Parcial</w:t>
            </w: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5BA1EED3" w14:textId="77777777" w:rsidR="00817793" w:rsidRDefault="002719FC">
            <w:pPr>
              <w:spacing w:before="120" w:after="120" w:line="240" w:lineRule="auto"/>
            </w:pPr>
            <w:r>
              <w:t>Falta transparência e detalhamento sobre os dados de custo de hospitalização de pacientes com lúpus a partir de pesquisa dos códigos CID no D-TISS, para cálculo do custo das exacerbações e SDI.</w:t>
            </w:r>
          </w:p>
        </w:tc>
      </w:tr>
      <w:tr w:rsidR="00817793" w14:paraId="59E92419" w14:textId="77777777">
        <w:trPr>
          <w:trHeight w:val="737"/>
        </w:trPr>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8D516" w14:textId="77777777" w:rsidR="00817793" w:rsidRDefault="002719FC">
            <w:pPr>
              <w:spacing w:before="120" w:after="120" w:line="240" w:lineRule="auto"/>
              <w:jc w:val="center"/>
            </w:pPr>
            <w:r>
              <w:lastRenderedPageBreak/>
              <w:t>24</w:t>
            </w:r>
          </w:p>
        </w:tc>
        <w:tc>
          <w:tcPr>
            <w:tcW w:w="1701" w:type="dxa"/>
            <w:tcBorders>
              <w:top w:val="single" w:sz="4" w:space="0" w:color="000000"/>
              <w:left w:val="nil"/>
              <w:bottom w:val="single" w:sz="4" w:space="0" w:color="000000"/>
              <w:right w:val="single" w:sz="4" w:space="0" w:color="000000"/>
            </w:tcBorders>
            <w:shd w:val="clear" w:color="auto" w:fill="auto"/>
            <w:vAlign w:val="center"/>
          </w:tcPr>
          <w:p w14:paraId="0901656B" w14:textId="77777777" w:rsidR="00817793" w:rsidRDefault="002719FC">
            <w:pPr>
              <w:spacing w:before="120" w:after="120" w:line="240" w:lineRule="auto"/>
              <w:jc w:val="center"/>
            </w:pPr>
            <w:r>
              <w:t>n/a</w:t>
            </w:r>
          </w:p>
        </w:tc>
        <w:tc>
          <w:tcPr>
            <w:tcW w:w="10706" w:type="dxa"/>
            <w:tcBorders>
              <w:top w:val="single" w:sz="4" w:space="0" w:color="000000"/>
              <w:left w:val="nil"/>
              <w:bottom w:val="single" w:sz="4" w:space="0" w:color="000000"/>
              <w:right w:val="single" w:sz="4" w:space="0" w:color="000000"/>
            </w:tcBorders>
            <w:shd w:val="clear" w:color="auto" w:fill="auto"/>
            <w:vAlign w:val="center"/>
          </w:tcPr>
          <w:p w14:paraId="0F88B1C4" w14:textId="77777777" w:rsidR="00817793" w:rsidRDefault="002719FC">
            <w:pPr>
              <w:spacing w:before="120" w:after="120" w:line="240" w:lineRule="auto"/>
              <w:jc w:val="left"/>
            </w:pPr>
            <w:r>
              <w:t>A declaração de conflitos de interesse é objeto de análise pela ANS devido à proteção de dados confidenciais. O PARECERISTA não teve acesso ao documento.</w:t>
            </w:r>
          </w:p>
        </w:tc>
      </w:tr>
    </w:tbl>
    <w:p w14:paraId="00A7218F" w14:textId="77777777" w:rsidR="00817793" w:rsidRDefault="002719FC">
      <w:pPr>
        <w:spacing w:before="120" w:after="120" w:line="240" w:lineRule="auto"/>
        <w:jc w:val="left"/>
        <w:rPr>
          <w:b/>
          <w:color w:val="000000"/>
        </w:rPr>
      </w:pPr>
      <w:r>
        <w:rPr>
          <w:b/>
          <w:color w:val="000000"/>
        </w:rPr>
        <w:t>(inserir outras linhas se necessário)</w:t>
      </w:r>
    </w:p>
    <w:p w14:paraId="56A0069A" w14:textId="77777777" w:rsidR="00817793" w:rsidRDefault="002719FC">
      <w:pPr>
        <w:spacing w:after="120" w:line="240" w:lineRule="auto"/>
        <w:jc w:val="left"/>
        <w:rPr>
          <w:b/>
          <w:color w:val="000000"/>
          <w:sz w:val="24"/>
          <w:szCs w:val="24"/>
        </w:rPr>
        <w:sectPr w:rsidR="00817793">
          <w:footerReference w:type="default" r:id="rId48"/>
          <w:pgSz w:w="16838" w:h="11906" w:orient="landscape"/>
          <w:pgMar w:top="1418" w:right="1134" w:bottom="1418" w:left="2115" w:header="709" w:footer="709" w:gutter="0"/>
          <w:pgNumType w:start="0"/>
          <w:cols w:space="720"/>
        </w:sectPr>
      </w:pPr>
      <w:r>
        <w:br w:type="page"/>
      </w:r>
    </w:p>
    <w:p w14:paraId="2F72CB5D" w14:textId="77777777" w:rsidR="00817793" w:rsidRDefault="002719FC">
      <w:pPr>
        <w:pStyle w:val="Ttulo5"/>
        <w:spacing w:before="0"/>
        <w:rPr>
          <w:i w:val="0"/>
          <w:sz w:val="22"/>
          <w:szCs w:val="22"/>
        </w:rPr>
      </w:pPr>
      <w:bookmarkStart w:id="92" w:name="_jbkn59sujks4" w:colFirst="0" w:colLast="0"/>
      <w:bookmarkEnd w:id="92"/>
      <w:r>
        <w:rPr>
          <w:b/>
          <w:i w:val="0"/>
          <w:sz w:val="22"/>
          <w:szCs w:val="22"/>
        </w:rPr>
        <w:lastRenderedPageBreak/>
        <w:t xml:space="preserve">Anexo 3. </w:t>
      </w:r>
      <w:r>
        <w:rPr>
          <w:i w:val="0"/>
          <w:sz w:val="22"/>
          <w:szCs w:val="22"/>
        </w:rPr>
        <w:t>Planilha de impacto orçamentário elaborada pelo PARECERISTA (anexo externo).</w:t>
      </w:r>
    </w:p>
    <w:p w14:paraId="7DF6F7AA" w14:textId="77777777" w:rsidR="00817793" w:rsidRDefault="00817793">
      <w:pPr>
        <w:spacing w:before="0" w:after="120"/>
        <w:rPr>
          <w:b/>
        </w:rPr>
      </w:pPr>
    </w:p>
    <w:p w14:paraId="080C3E82" w14:textId="77777777" w:rsidR="00817793" w:rsidRDefault="002719FC">
      <w:pPr>
        <w:pStyle w:val="Ttulo5"/>
        <w:spacing w:before="0"/>
        <w:rPr>
          <w:i w:val="0"/>
          <w:sz w:val="22"/>
          <w:szCs w:val="22"/>
        </w:rPr>
      </w:pPr>
      <w:bookmarkStart w:id="93" w:name="_zijx9sefrp2t" w:colFirst="0" w:colLast="0"/>
      <w:bookmarkEnd w:id="93"/>
      <w:r>
        <w:rPr>
          <w:b/>
          <w:i w:val="0"/>
          <w:sz w:val="22"/>
          <w:szCs w:val="22"/>
        </w:rPr>
        <w:t xml:space="preserve">Anexo 4. </w:t>
      </w:r>
      <w:r>
        <w:rPr>
          <w:i w:val="0"/>
          <w:sz w:val="22"/>
          <w:szCs w:val="22"/>
        </w:rPr>
        <w:t>Declaração de potenciais conflitos de interesses (anexo externo).</w:t>
      </w:r>
    </w:p>
    <w:sectPr w:rsidR="00817793">
      <w:pgSz w:w="11906" w:h="16838"/>
      <w:pgMar w:top="2115" w:right="1418" w:bottom="1134" w:left="1418" w:header="709" w:footer="709" w:gutter="0"/>
      <w:pgNumType w:start="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BB538" w14:textId="77777777" w:rsidR="00FB0A9A" w:rsidRDefault="00FB0A9A">
      <w:pPr>
        <w:spacing w:before="0" w:after="0" w:line="240" w:lineRule="auto"/>
      </w:pPr>
      <w:r>
        <w:separator/>
      </w:r>
    </w:p>
  </w:endnote>
  <w:endnote w:type="continuationSeparator" w:id="0">
    <w:p w14:paraId="0FE06C09" w14:textId="77777777" w:rsidR="00FB0A9A" w:rsidRDefault="00FB0A9A">
      <w:pPr>
        <w:spacing w:before="0" w:after="0" w:line="240" w:lineRule="auto"/>
      </w:pPr>
      <w:r>
        <w:continuationSeparator/>
      </w:r>
    </w:p>
  </w:endnote>
  <w:endnote w:type="continuationNotice" w:id="1">
    <w:p w14:paraId="41192C41" w14:textId="77777777" w:rsidR="00FB0A9A" w:rsidRDefault="00FB0A9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2FA2BE3-9677-48E6-AA9A-E8DE793F9AAB}"/>
    <w:embedBold r:id="rId2" w:fontKey="{94C1F7DE-1778-4864-9737-DA28015C8B5E}"/>
    <w:embedItalic r:id="rId3" w:fontKey="{E4D4A017-55E0-4ECA-8F02-139FB3DB9565}"/>
    <w:embedBoldItalic r:id="rId4" w:fontKey="{802A9DE7-6A98-4021-A3E9-997EBFAC6B19}"/>
  </w:font>
  <w:font w:name="Georgia">
    <w:panose1 w:val="02040502050405020303"/>
    <w:charset w:val="00"/>
    <w:family w:val="roman"/>
    <w:pitch w:val="variable"/>
    <w:sig w:usb0="00000287" w:usb1="00000000" w:usb2="00000000" w:usb3="00000000" w:csb0="0000009F" w:csb1="00000000"/>
    <w:embedRegular r:id="rId5" w:fontKey="{69664277-A09B-4BF2-8808-14D00A23367D}"/>
    <w:embedItalic r:id="rId6" w:fontKey="{27B5F34E-FD21-49A2-BED0-166A0FB3BDCF}"/>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4F0C3EFB-A955-4526-BDE0-4AAE6F9E622F}"/>
  </w:font>
  <w:font w:name="Quattrocento Sans">
    <w:charset w:val="00"/>
    <w:family w:val="swiss"/>
    <w:pitch w:val="variable"/>
    <w:sig w:usb0="800000BF" w:usb1="4000005B" w:usb2="00000000" w:usb3="00000000" w:csb0="00000001" w:csb1="00000000"/>
    <w:embedRegular r:id="rId8" w:fontKey="{77734375-27F6-4B54-82A5-45D3CCF40A15}"/>
    <w:embedItalic r:id="rId9" w:fontKey="{C1410A59-E398-4F89-8B9A-716D59FD285A}"/>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0F899BD7-1CD3-4E7D-95FE-3FE94898D9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EDD17" w14:textId="49DDF2B7" w:rsidR="00817793" w:rsidRDefault="002719FC">
    <w:pPr>
      <w:pBdr>
        <w:top w:val="nil"/>
        <w:left w:val="nil"/>
        <w:bottom w:val="nil"/>
        <w:right w:val="nil"/>
        <w:between w:val="nil"/>
      </w:pBdr>
      <w:tabs>
        <w:tab w:val="center" w:pos="4252"/>
        <w:tab w:val="right" w:pos="8504"/>
      </w:tabs>
      <w:spacing w:before="0" w:after="0" w:line="240" w:lineRule="auto"/>
      <w:jc w:val="center"/>
      <w:rPr>
        <w:color w:val="000000"/>
      </w:rPr>
    </w:pPr>
    <w:r>
      <w:rPr>
        <w:color w:val="000000"/>
      </w:rPr>
      <w:fldChar w:fldCharType="begin"/>
    </w:r>
    <w:r>
      <w:rPr>
        <w:color w:val="000000"/>
      </w:rPr>
      <w:instrText>PAGE</w:instrText>
    </w:r>
    <w:r>
      <w:rPr>
        <w:color w:val="000000"/>
      </w:rPr>
      <w:fldChar w:fldCharType="separate"/>
    </w:r>
    <w:r w:rsidR="00115FE0">
      <w:rPr>
        <w:noProof/>
        <w:color w:val="000000"/>
      </w:rPr>
      <w:t>5</w:t>
    </w:r>
    <w:r>
      <w:rPr>
        <w:color w:val="000000"/>
      </w:rPr>
      <w:fldChar w:fldCharType="end"/>
    </w:r>
  </w:p>
  <w:p w14:paraId="320646EB" w14:textId="77777777" w:rsidR="00817793" w:rsidRDefault="00817793">
    <w:pPr>
      <w:widowControl w:val="0"/>
      <w:pBdr>
        <w:top w:val="nil"/>
        <w:left w:val="nil"/>
        <w:bottom w:val="nil"/>
        <w:right w:val="nil"/>
        <w:between w:val="nil"/>
      </w:pBdr>
      <w:spacing w:before="0" w:after="0" w:line="276" w:lineRule="auto"/>
      <w:jc w:val="left"/>
      <w:rPr>
        <w:color w:val="000000"/>
      </w:rPr>
    </w:pPr>
  </w:p>
  <w:p w14:paraId="0CDF2F94" w14:textId="77777777" w:rsidR="00B716E9" w:rsidRDefault="00B716E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D7778" w14:textId="77777777" w:rsidR="00817793" w:rsidRDefault="00817793">
    <w:pPr>
      <w:pBdr>
        <w:top w:val="nil"/>
        <w:left w:val="nil"/>
        <w:bottom w:val="nil"/>
        <w:right w:val="nil"/>
        <w:between w:val="nil"/>
      </w:pBdr>
      <w:tabs>
        <w:tab w:val="center" w:pos="4252"/>
        <w:tab w:val="right" w:pos="8504"/>
      </w:tabs>
      <w:spacing w:before="0" w:after="0" w:line="240" w:lineRule="auto"/>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D385F" w14:textId="77777777" w:rsidR="00FB0A9A" w:rsidRDefault="00FB0A9A">
      <w:pPr>
        <w:spacing w:before="0" w:after="0" w:line="240" w:lineRule="auto"/>
      </w:pPr>
      <w:r>
        <w:separator/>
      </w:r>
    </w:p>
  </w:footnote>
  <w:footnote w:type="continuationSeparator" w:id="0">
    <w:p w14:paraId="536749BA" w14:textId="77777777" w:rsidR="00FB0A9A" w:rsidRDefault="00FB0A9A">
      <w:pPr>
        <w:spacing w:before="0" w:after="0" w:line="240" w:lineRule="auto"/>
      </w:pPr>
      <w:r>
        <w:continuationSeparator/>
      </w:r>
    </w:p>
  </w:footnote>
  <w:footnote w:type="continuationNotice" w:id="1">
    <w:p w14:paraId="3AA8594E" w14:textId="77777777" w:rsidR="00FB0A9A" w:rsidRDefault="00FB0A9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E7A80" w14:textId="77777777" w:rsidR="00817793" w:rsidRDefault="002719FC">
    <w:pPr>
      <w:pBdr>
        <w:top w:val="nil"/>
        <w:left w:val="nil"/>
        <w:bottom w:val="nil"/>
        <w:right w:val="nil"/>
        <w:between w:val="nil"/>
      </w:pBdr>
      <w:tabs>
        <w:tab w:val="center" w:pos="4252"/>
        <w:tab w:val="right" w:pos="8504"/>
      </w:tabs>
      <w:spacing w:before="0" w:after="0" w:line="240" w:lineRule="auto"/>
      <w:jc w:val="center"/>
      <w:rPr>
        <w:color w:val="000000"/>
      </w:rPr>
    </w:pPr>
    <w:r>
      <w:rPr>
        <w:noProof/>
        <w:color w:val="000000"/>
      </w:rPr>
      <w:drawing>
        <wp:inline distT="0" distB="0" distL="0" distR="0" wp14:anchorId="2D80FAE9" wp14:editId="07777777">
          <wp:extent cx="1353185" cy="274320"/>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353185" cy="27432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5095C" w14:textId="77777777" w:rsidR="00817793" w:rsidRDefault="002719FC">
    <w:pPr>
      <w:pBdr>
        <w:top w:val="nil"/>
        <w:left w:val="nil"/>
        <w:bottom w:val="nil"/>
        <w:right w:val="nil"/>
        <w:between w:val="nil"/>
      </w:pBdr>
      <w:tabs>
        <w:tab w:val="center" w:pos="4252"/>
        <w:tab w:val="right" w:pos="8504"/>
      </w:tabs>
      <w:spacing w:before="0" w:after="0" w:line="240" w:lineRule="auto"/>
      <w:rPr>
        <w:color w:val="000000"/>
      </w:rPr>
    </w:pPr>
    <w:r>
      <w:rPr>
        <w:noProof/>
      </w:rPr>
      <w:drawing>
        <wp:anchor distT="0" distB="0" distL="114300" distR="114300" simplePos="0" relativeHeight="251658240" behindDoc="0" locked="0" layoutInCell="1" hidden="0" allowOverlap="1" wp14:anchorId="44999053" wp14:editId="07777777">
          <wp:simplePos x="0" y="0"/>
          <wp:positionH relativeFrom="column">
            <wp:posOffset>4131945</wp:posOffset>
          </wp:positionH>
          <wp:positionV relativeFrom="paragraph">
            <wp:posOffset>104140</wp:posOffset>
          </wp:positionV>
          <wp:extent cx="2295525" cy="467995"/>
          <wp:effectExtent l="0" t="0" r="0" b="0"/>
          <wp:wrapSquare wrapText="bothSides" distT="0" distB="0" distL="114300" distR="11430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295525" cy="46799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BD52D" w14:textId="77777777" w:rsidR="00817793" w:rsidRDefault="002719FC">
    <w:pPr>
      <w:pBdr>
        <w:top w:val="nil"/>
        <w:left w:val="nil"/>
        <w:bottom w:val="nil"/>
        <w:right w:val="nil"/>
        <w:between w:val="nil"/>
      </w:pBdr>
      <w:tabs>
        <w:tab w:val="center" w:pos="4252"/>
        <w:tab w:val="right" w:pos="8504"/>
      </w:tabs>
      <w:spacing w:before="0" w:after="0" w:line="240" w:lineRule="auto"/>
      <w:rPr>
        <w:color w:val="000000"/>
      </w:rPr>
    </w:pPr>
    <w:r>
      <w:rPr>
        <w:noProof/>
      </w:rPr>
      <w:drawing>
        <wp:anchor distT="0" distB="0" distL="114300" distR="114300" simplePos="0" relativeHeight="251658241" behindDoc="0" locked="0" layoutInCell="1" hidden="0" allowOverlap="1" wp14:anchorId="16959AD1" wp14:editId="07777777">
          <wp:simplePos x="0" y="0"/>
          <wp:positionH relativeFrom="column">
            <wp:posOffset>2214245</wp:posOffset>
          </wp:positionH>
          <wp:positionV relativeFrom="paragraph">
            <wp:posOffset>-59688</wp:posOffset>
          </wp:positionV>
          <wp:extent cx="1352550" cy="276225"/>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52550" cy="276225"/>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6735D" w14:textId="77777777" w:rsidR="00817793" w:rsidRDefault="002719FC">
    <w:pPr>
      <w:tabs>
        <w:tab w:val="center" w:pos="4252"/>
        <w:tab w:val="right" w:pos="8504"/>
      </w:tabs>
      <w:spacing w:before="120" w:after="120" w:line="240" w:lineRule="auto"/>
      <w:jc w:val="center"/>
    </w:pPr>
    <w:r>
      <w:rPr>
        <w:noProof/>
      </w:rPr>
      <w:drawing>
        <wp:anchor distT="0" distB="0" distL="114300" distR="114300" simplePos="0" relativeHeight="251658242" behindDoc="0" locked="0" layoutInCell="1" hidden="0" allowOverlap="1" wp14:anchorId="1D200C3D" wp14:editId="07777777">
          <wp:simplePos x="0" y="0"/>
          <wp:positionH relativeFrom="column">
            <wp:posOffset>1671320</wp:posOffset>
          </wp:positionH>
          <wp:positionV relativeFrom="paragraph">
            <wp:posOffset>-145414</wp:posOffset>
          </wp:positionV>
          <wp:extent cx="2000250" cy="407670"/>
          <wp:effectExtent l="0" t="0" r="0" b="0"/>
          <wp:wrapSquare wrapText="bothSides" distT="0" distB="0" distL="114300" distR="11430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000250" cy="407670"/>
                  </a:xfrm>
                  <a:prstGeom prst="rect">
                    <a:avLst/>
                  </a:prstGeom>
                  <a:ln/>
                </pic:spPr>
              </pic:pic>
            </a:graphicData>
          </a:graphic>
        </wp:anchor>
      </w:drawing>
    </w:r>
  </w:p>
  <w:p w14:paraId="1E8E47C2" w14:textId="77777777" w:rsidR="00817793" w:rsidRDefault="00817793">
    <w:pPr>
      <w:pBdr>
        <w:top w:val="nil"/>
        <w:left w:val="nil"/>
        <w:bottom w:val="nil"/>
        <w:right w:val="nil"/>
        <w:between w:val="nil"/>
      </w:pBdr>
      <w:tabs>
        <w:tab w:val="center" w:pos="4252"/>
        <w:tab w:val="right" w:pos="8504"/>
      </w:tabs>
      <w:spacing w:before="0" w:after="0" w:line="240" w:lineRule="auto"/>
    </w:pPr>
  </w:p>
  <w:p w14:paraId="016FBC96" w14:textId="77777777" w:rsidR="00B716E9" w:rsidRDefault="00B71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96F9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2A2A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02148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1C839D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B297ACF"/>
    <w:multiLevelType w:val="hybridMultilevel"/>
    <w:tmpl w:val="617AED6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 w15:restartNumberingAfterBreak="0">
    <w:nsid w:val="2B2D23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B3B3A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02D44B4"/>
    <w:multiLevelType w:val="hybridMultilevel"/>
    <w:tmpl w:val="DB7A8DF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8" w15:restartNumberingAfterBreak="0">
    <w:nsid w:val="41FC2B6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C4D6C21"/>
    <w:multiLevelType w:val="multilevel"/>
    <w:tmpl w:val="FFFFFFFF"/>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4882D8A"/>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4D66F2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E6F18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EB220B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14324B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98F5B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AC4313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B4451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BAF72B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C59587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E7969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F113A9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83009D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A6D6A9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2067142">
    <w:abstractNumId w:val="11"/>
  </w:num>
  <w:num w:numId="2" w16cid:durableId="1269192722">
    <w:abstractNumId w:val="2"/>
  </w:num>
  <w:num w:numId="3" w16cid:durableId="1239484745">
    <w:abstractNumId w:val="22"/>
  </w:num>
  <w:num w:numId="4" w16cid:durableId="1272859321">
    <w:abstractNumId w:val="23"/>
  </w:num>
  <w:num w:numId="5" w16cid:durableId="1726296414">
    <w:abstractNumId w:val="18"/>
  </w:num>
  <w:num w:numId="6" w16cid:durableId="1219198933">
    <w:abstractNumId w:val="13"/>
  </w:num>
  <w:num w:numId="7" w16cid:durableId="1360661899">
    <w:abstractNumId w:val="20"/>
  </w:num>
  <w:num w:numId="8" w16cid:durableId="133067712">
    <w:abstractNumId w:val="9"/>
  </w:num>
  <w:num w:numId="9" w16cid:durableId="1905529831">
    <w:abstractNumId w:val="19"/>
  </w:num>
  <w:num w:numId="10" w16cid:durableId="1511675584">
    <w:abstractNumId w:val="8"/>
  </w:num>
  <w:num w:numId="11" w16cid:durableId="700940143">
    <w:abstractNumId w:val="3"/>
  </w:num>
  <w:num w:numId="12" w16cid:durableId="755134932">
    <w:abstractNumId w:val="5"/>
  </w:num>
  <w:num w:numId="13" w16cid:durableId="1357274060">
    <w:abstractNumId w:val="10"/>
  </w:num>
  <w:num w:numId="14" w16cid:durableId="900944012">
    <w:abstractNumId w:val="6"/>
  </w:num>
  <w:num w:numId="15" w16cid:durableId="21438369">
    <w:abstractNumId w:val="17"/>
  </w:num>
  <w:num w:numId="16" w16cid:durableId="757216532">
    <w:abstractNumId w:val="0"/>
  </w:num>
  <w:num w:numId="17" w16cid:durableId="2056663341">
    <w:abstractNumId w:val="15"/>
  </w:num>
  <w:num w:numId="18" w16cid:durableId="1464083930">
    <w:abstractNumId w:val="12"/>
  </w:num>
  <w:num w:numId="19" w16cid:durableId="636841709">
    <w:abstractNumId w:val="21"/>
  </w:num>
  <w:num w:numId="20" w16cid:durableId="1921522426">
    <w:abstractNumId w:val="16"/>
  </w:num>
  <w:num w:numId="21" w16cid:durableId="1075469278">
    <w:abstractNumId w:val="1"/>
  </w:num>
  <w:num w:numId="22" w16cid:durableId="57678686">
    <w:abstractNumId w:val="14"/>
  </w:num>
  <w:num w:numId="23" w16cid:durableId="800148619">
    <w:abstractNumId w:val="4"/>
  </w:num>
  <w:num w:numId="24" w16cid:durableId="16332927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7793"/>
    <w:rsid w:val="00013296"/>
    <w:rsid w:val="00020252"/>
    <w:rsid w:val="00061A01"/>
    <w:rsid w:val="00071026"/>
    <w:rsid w:val="00073F7B"/>
    <w:rsid w:val="000976E4"/>
    <w:rsid w:val="00115FE0"/>
    <w:rsid w:val="00154D02"/>
    <w:rsid w:val="00156CAA"/>
    <w:rsid w:val="00161510"/>
    <w:rsid w:val="001E7850"/>
    <w:rsid w:val="00242597"/>
    <w:rsid w:val="0024452D"/>
    <w:rsid w:val="00251D55"/>
    <w:rsid w:val="0025485D"/>
    <w:rsid w:val="0026409C"/>
    <w:rsid w:val="002719FC"/>
    <w:rsid w:val="002B37A8"/>
    <w:rsid w:val="00306C83"/>
    <w:rsid w:val="00314A1D"/>
    <w:rsid w:val="00326C00"/>
    <w:rsid w:val="0033205D"/>
    <w:rsid w:val="00344104"/>
    <w:rsid w:val="003D1708"/>
    <w:rsid w:val="0040519B"/>
    <w:rsid w:val="00416CCE"/>
    <w:rsid w:val="00422D17"/>
    <w:rsid w:val="00453B33"/>
    <w:rsid w:val="004B4CDB"/>
    <w:rsid w:val="004C72BA"/>
    <w:rsid w:val="004E7148"/>
    <w:rsid w:val="00500F58"/>
    <w:rsid w:val="00515F2D"/>
    <w:rsid w:val="00532E21"/>
    <w:rsid w:val="00545A5B"/>
    <w:rsid w:val="00580176"/>
    <w:rsid w:val="005D7C95"/>
    <w:rsid w:val="00625C08"/>
    <w:rsid w:val="0065237B"/>
    <w:rsid w:val="006C6EA3"/>
    <w:rsid w:val="00786EB4"/>
    <w:rsid w:val="007C70C9"/>
    <w:rsid w:val="0081013D"/>
    <w:rsid w:val="00817793"/>
    <w:rsid w:val="00826382"/>
    <w:rsid w:val="00851AA8"/>
    <w:rsid w:val="008C01AE"/>
    <w:rsid w:val="008E39C5"/>
    <w:rsid w:val="008E3AEC"/>
    <w:rsid w:val="00924AC8"/>
    <w:rsid w:val="00962048"/>
    <w:rsid w:val="009D0D98"/>
    <w:rsid w:val="00A164A9"/>
    <w:rsid w:val="00A640F0"/>
    <w:rsid w:val="00AC3BB3"/>
    <w:rsid w:val="00AC5FFA"/>
    <w:rsid w:val="00AF1429"/>
    <w:rsid w:val="00B34B47"/>
    <w:rsid w:val="00B40BD2"/>
    <w:rsid w:val="00B47CA5"/>
    <w:rsid w:val="00B56524"/>
    <w:rsid w:val="00B64789"/>
    <w:rsid w:val="00B716E9"/>
    <w:rsid w:val="00B93FE8"/>
    <w:rsid w:val="00BB2A71"/>
    <w:rsid w:val="00BC4D84"/>
    <w:rsid w:val="00BD7D04"/>
    <w:rsid w:val="00C234C1"/>
    <w:rsid w:val="00D531D7"/>
    <w:rsid w:val="00D9167B"/>
    <w:rsid w:val="00DD28CD"/>
    <w:rsid w:val="00E474E7"/>
    <w:rsid w:val="00EC5EED"/>
    <w:rsid w:val="00ED3216"/>
    <w:rsid w:val="00EF08A0"/>
    <w:rsid w:val="00EF3C6E"/>
    <w:rsid w:val="00F1146C"/>
    <w:rsid w:val="00FB0A9A"/>
    <w:rsid w:val="00FB5577"/>
    <w:rsid w:val="00FF6BAB"/>
    <w:rsid w:val="0A3A4CEB"/>
    <w:rsid w:val="206BA19F"/>
    <w:rsid w:val="25D5ABDE"/>
    <w:rsid w:val="42C5F8F6"/>
    <w:rsid w:val="50F3AFC4"/>
    <w:rsid w:val="623866D0"/>
    <w:rsid w:val="704C5938"/>
    <w:rsid w:val="76DF1F08"/>
    <w:rsid w:val="7F4037E7"/>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248EA8"/>
  <w15:docId w15:val="{F8D354F9-1772-4D4A-A1CB-6CF915C8C7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ja-JP" w:bidi="ar-SA"/>
      </w:rPr>
    </w:rPrDefault>
    <w:pPrDefault>
      <w:pPr>
        <w:spacing w:before="240" w:after="24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outlineLvl w:val="0"/>
    </w:pPr>
    <w:rPr>
      <w:b/>
      <w:smallCaps/>
      <w:sz w:val="28"/>
      <w:szCs w:val="28"/>
    </w:rPr>
  </w:style>
  <w:style w:type="paragraph" w:styleId="Ttulo2">
    <w:name w:val="heading 2"/>
    <w:basedOn w:val="Normal"/>
    <w:next w:val="Normal"/>
    <w:uiPriority w:val="9"/>
    <w:unhideWhenUsed/>
    <w:qFormat/>
    <w:pPr>
      <w:keepNext/>
      <w:keepLines/>
      <w:spacing w:before="0" w:after="0" w:line="240" w:lineRule="auto"/>
      <w:outlineLvl w:val="1"/>
    </w:pPr>
    <w:rPr>
      <w:b/>
      <w:sz w:val="28"/>
      <w:szCs w:val="28"/>
    </w:rPr>
  </w:style>
  <w:style w:type="paragraph" w:styleId="Ttulo3">
    <w:name w:val="heading 3"/>
    <w:basedOn w:val="Normal"/>
    <w:next w:val="Normal"/>
    <w:uiPriority w:val="9"/>
    <w:unhideWhenUsed/>
    <w:qFormat/>
    <w:pPr>
      <w:keepNext/>
      <w:keepLines/>
      <w:outlineLvl w:val="2"/>
    </w:pPr>
    <w:rPr>
      <w:i/>
    </w:rPr>
  </w:style>
  <w:style w:type="paragraph" w:styleId="Ttulo4">
    <w:name w:val="heading 4"/>
    <w:basedOn w:val="Normal"/>
    <w:next w:val="Normal"/>
    <w:uiPriority w:val="9"/>
    <w:unhideWhenUsed/>
    <w:qFormat/>
    <w:pPr>
      <w:keepNext/>
      <w:keepLines/>
      <w:spacing w:before="120" w:after="120" w:line="240" w:lineRule="auto"/>
      <w:jc w:val="center"/>
      <w:outlineLvl w:val="3"/>
    </w:pPr>
  </w:style>
  <w:style w:type="paragraph" w:styleId="Ttulo5">
    <w:name w:val="heading 5"/>
    <w:basedOn w:val="Normal"/>
    <w:next w:val="Normal"/>
    <w:uiPriority w:val="9"/>
    <w:unhideWhenUsed/>
    <w:qFormat/>
    <w:pPr>
      <w:keepNext/>
      <w:keepLines/>
      <w:spacing w:before="120" w:after="120" w:line="240" w:lineRule="auto"/>
      <w:outlineLvl w:val="4"/>
    </w:pPr>
    <w:rPr>
      <w:i/>
      <w:sz w:val="18"/>
      <w:szCs w:val="18"/>
    </w:rPr>
  </w:style>
  <w:style w:type="paragraph" w:styleId="Ttulo6">
    <w:name w:val="heading 6"/>
    <w:basedOn w:val="Normal"/>
    <w:next w:val="Normal"/>
    <w:uiPriority w:val="9"/>
    <w:semiHidden/>
    <w:unhideWhenUsed/>
    <w:qFormat/>
    <w:pPr>
      <w:keepNext/>
      <w:keepLines/>
      <w:spacing w:before="0" w:after="120"/>
      <w:jc w:val="center"/>
      <w:outlineLvl w:val="5"/>
    </w:pPr>
    <w:rPr>
      <w:b/>
    </w:rPr>
  </w:style>
  <w:style w:type="character" w:default="1" w:styleId="Fontepargpadro">
    <w:name w:val="Default Paragraph Font"/>
    <w:uiPriority w:val="1"/>
    <w:semiHidden/>
    <w:unhideWhenUsed/>
  </w:style>
  <w:style w:type="table" w:default="1" w:styleId="Tabelanormal">
    <w:name w:val="Normal Table"/>
    <w:uiPriority w:val="99"/>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elanormal"/>
    <w:pPr>
      <w:spacing w:after="0" w:line="240" w:lineRule="auto"/>
    </w:pPr>
    <w:tblPr>
      <w:tblStyleRowBandSize w:val="1"/>
      <w:tblStyleColBandSize w:val="1"/>
      <w:tblInd w:w="0" w:type="nil"/>
    </w:tblPr>
  </w:style>
  <w:style w:type="table" w:customStyle="1" w:styleId="a0">
    <w:basedOn w:val="Tabelanormal"/>
    <w:pPr>
      <w:spacing w:after="0" w:line="240" w:lineRule="auto"/>
    </w:pPr>
    <w:tblPr>
      <w:tblStyleRowBandSize w:val="1"/>
      <w:tblStyleColBandSize w:val="1"/>
      <w:tblInd w:w="0" w:type="nil"/>
    </w:tblPr>
  </w:style>
  <w:style w:type="table" w:customStyle="1" w:styleId="a1">
    <w:basedOn w:val="Tabelanormal"/>
    <w:pPr>
      <w:spacing w:after="0" w:line="240" w:lineRule="auto"/>
    </w:pPr>
    <w:tblPr>
      <w:tblStyleRowBandSize w:val="1"/>
      <w:tblStyleColBandSize w:val="1"/>
      <w:tblInd w:w="0" w:type="nil"/>
    </w:tblPr>
  </w:style>
  <w:style w:type="table" w:customStyle="1" w:styleId="a2">
    <w:basedOn w:val="Tabelanormal"/>
    <w:tblPr>
      <w:tblStyleRowBandSize w:val="1"/>
      <w:tblStyleColBandSize w:val="1"/>
      <w:tblInd w:w="0" w:type="nil"/>
      <w:tblCellMar>
        <w:left w:w="70" w:type="dxa"/>
        <w:right w:w="70" w:type="dxa"/>
      </w:tblCellMar>
    </w:tblPr>
  </w:style>
  <w:style w:type="table" w:customStyle="1" w:styleId="a3">
    <w:basedOn w:val="Tabelanormal"/>
    <w:tblPr>
      <w:tblStyleRowBandSize w:val="1"/>
      <w:tblStyleColBandSize w:val="1"/>
      <w:tblInd w:w="0" w:type="nil"/>
      <w:tblCellMar>
        <w:left w:w="70" w:type="dxa"/>
        <w:right w:w="70" w:type="dxa"/>
      </w:tblCellMar>
    </w:tblPr>
  </w:style>
  <w:style w:type="table" w:customStyle="1" w:styleId="a4">
    <w:basedOn w:val="Tabelanormal"/>
    <w:pPr>
      <w:spacing w:after="0" w:line="240" w:lineRule="auto"/>
    </w:pPr>
    <w:tblPr>
      <w:tblStyleRowBandSize w:val="1"/>
      <w:tblStyleColBandSize w:val="1"/>
      <w:tblInd w:w="0" w:type="nil"/>
    </w:tblPr>
  </w:style>
  <w:style w:type="table" w:customStyle="1" w:styleId="a5">
    <w:basedOn w:val="Tabelanormal"/>
    <w:tblPr>
      <w:tblStyleRowBandSize w:val="1"/>
      <w:tblStyleColBandSize w:val="1"/>
      <w:tblInd w:w="0" w:type="nil"/>
      <w:tblCellMar>
        <w:left w:w="115" w:type="dxa"/>
        <w:right w:w="115" w:type="dxa"/>
      </w:tblCellMar>
    </w:tblPr>
  </w:style>
  <w:style w:type="table" w:customStyle="1" w:styleId="a6">
    <w:basedOn w:val="Tabelanormal"/>
    <w:tblPr>
      <w:tblStyleRowBandSize w:val="1"/>
      <w:tblStyleColBandSize w:val="1"/>
      <w:tblInd w:w="0" w:type="nil"/>
      <w:tblCellMar>
        <w:left w:w="70" w:type="dxa"/>
        <w:right w:w="70" w:type="dxa"/>
      </w:tblCellMar>
    </w:tblPr>
  </w:style>
  <w:style w:type="table" w:customStyle="1" w:styleId="a7">
    <w:basedOn w:val="Tabelanormal"/>
    <w:tblPr>
      <w:tblStyleRowBandSize w:val="1"/>
      <w:tblStyleColBandSize w:val="1"/>
      <w:tblInd w:w="0" w:type="nil"/>
      <w:tblCellMar>
        <w:left w:w="115" w:type="dxa"/>
        <w:right w:w="115" w:type="dxa"/>
      </w:tblCellMar>
    </w:tblPr>
  </w:style>
  <w:style w:type="table" w:customStyle="1" w:styleId="a8">
    <w:basedOn w:val="Tabelanormal"/>
    <w:tblPr>
      <w:tblStyleRowBandSize w:val="1"/>
      <w:tblStyleColBandSize w:val="1"/>
      <w:tblInd w:w="0" w:type="nil"/>
      <w:tblCellMar>
        <w:left w:w="70" w:type="dxa"/>
        <w:right w:w="70" w:type="dxa"/>
      </w:tblCellMar>
    </w:tblPr>
  </w:style>
  <w:style w:type="table" w:customStyle="1" w:styleId="a9">
    <w:basedOn w:val="Tabelanormal"/>
    <w:tblPr>
      <w:tblStyleRowBandSize w:val="1"/>
      <w:tblStyleColBandSize w:val="1"/>
      <w:tblInd w:w="0" w:type="nil"/>
      <w:tblCellMar>
        <w:left w:w="115" w:type="dxa"/>
        <w:right w:w="115" w:type="dxa"/>
      </w:tblCellMar>
    </w:tblPr>
  </w:style>
  <w:style w:type="table" w:customStyle="1" w:styleId="aa">
    <w:basedOn w:val="Tabelanormal"/>
    <w:tblPr>
      <w:tblStyleRowBandSize w:val="1"/>
      <w:tblStyleColBandSize w:val="1"/>
      <w:tblInd w:w="0" w:type="nil"/>
      <w:tblCellMar>
        <w:left w:w="115" w:type="dxa"/>
        <w:right w:w="115" w:type="dxa"/>
      </w:tblCellMar>
    </w:tblPr>
  </w:style>
  <w:style w:type="table" w:customStyle="1" w:styleId="ab">
    <w:basedOn w:val="Tabelanormal"/>
    <w:tblPr>
      <w:tblStyleRowBandSize w:val="1"/>
      <w:tblStyleColBandSize w:val="1"/>
      <w:tblInd w:w="0" w:type="nil"/>
      <w:tblCellMar>
        <w:left w:w="70" w:type="dxa"/>
        <w:right w:w="70" w:type="dxa"/>
      </w:tblCellMar>
    </w:tblPr>
  </w:style>
  <w:style w:type="table" w:customStyle="1" w:styleId="ac">
    <w:basedOn w:val="Tabelanormal"/>
    <w:tblPr>
      <w:tblStyleRowBandSize w:val="1"/>
      <w:tblStyleColBandSize w:val="1"/>
      <w:tblInd w:w="0" w:type="nil"/>
      <w:tblCellMar>
        <w:left w:w="115" w:type="dxa"/>
        <w:right w:w="115" w:type="dxa"/>
      </w:tblCellMar>
    </w:tblPr>
  </w:style>
  <w:style w:type="table" w:customStyle="1" w:styleId="ad">
    <w:basedOn w:val="Tabelanormal"/>
    <w:tblPr>
      <w:tblStyleRowBandSize w:val="1"/>
      <w:tblStyleColBandSize w:val="1"/>
      <w:tblInd w:w="0" w:type="nil"/>
      <w:tblCellMar>
        <w:left w:w="70" w:type="dxa"/>
        <w:right w:w="70" w:type="dxa"/>
      </w:tblCellMar>
    </w:tblPr>
  </w:style>
  <w:style w:type="table" w:customStyle="1" w:styleId="ae">
    <w:basedOn w:val="Tabelanormal"/>
    <w:tblPr>
      <w:tblStyleRowBandSize w:val="1"/>
      <w:tblStyleColBandSize w:val="1"/>
      <w:tblInd w:w="0" w:type="nil"/>
      <w:tblCellMar>
        <w:left w:w="70" w:type="dxa"/>
        <w:right w:w="70" w:type="dxa"/>
      </w:tblCellMar>
    </w:tblPr>
  </w:style>
  <w:style w:type="table" w:customStyle="1" w:styleId="af">
    <w:basedOn w:val="Tabelanormal"/>
    <w:tblPr>
      <w:tblStyleRowBandSize w:val="1"/>
      <w:tblStyleColBandSize w:val="1"/>
      <w:tblInd w:w="0" w:type="nil"/>
      <w:tblCellMar>
        <w:left w:w="70" w:type="dxa"/>
        <w:right w:w="70" w:type="dxa"/>
      </w:tblCellMar>
    </w:tblPr>
  </w:style>
  <w:style w:type="table" w:customStyle="1" w:styleId="af0">
    <w:basedOn w:val="Tabelanormal"/>
    <w:tblPr>
      <w:tblStyleRowBandSize w:val="1"/>
      <w:tblStyleColBandSize w:val="1"/>
      <w:tblInd w:w="0" w:type="nil"/>
      <w:tblCellMar>
        <w:left w:w="70" w:type="dxa"/>
        <w:right w:w="70" w:type="dxa"/>
      </w:tblCellMar>
    </w:tblPr>
  </w:style>
  <w:style w:type="table" w:customStyle="1" w:styleId="af1">
    <w:basedOn w:val="Tabelanormal"/>
    <w:tblPr>
      <w:tblStyleRowBandSize w:val="1"/>
      <w:tblStyleColBandSize w:val="1"/>
      <w:tblInd w:w="0" w:type="nil"/>
      <w:tblCellMar>
        <w:left w:w="70" w:type="dxa"/>
        <w:right w:w="70" w:type="dxa"/>
      </w:tblCellMar>
    </w:tblPr>
  </w:style>
  <w:style w:type="table" w:customStyle="1" w:styleId="af2">
    <w:basedOn w:val="Tabelanormal"/>
    <w:tblPr>
      <w:tblStyleRowBandSize w:val="1"/>
      <w:tblStyleColBandSize w:val="1"/>
      <w:tblInd w:w="0" w:type="nil"/>
      <w:tblCellMar>
        <w:left w:w="70" w:type="dxa"/>
        <w:right w:w="70" w:type="dxa"/>
      </w:tblCellMar>
    </w:tblPr>
  </w:style>
  <w:style w:type="table" w:customStyle="1" w:styleId="af3">
    <w:basedOn w:val="Tabelanormal"/>
    <w:pPr>
      <w:spacing w:after="0" w:line="240" w:lineRule="auto"/>
    </w:pPr>
    <w:tblPr>
      <w:tblStyleRowBandSize w:val="1"/>
      <w:tblStyleColBandSize w:val="1"/>
      <w:tblInd w:w="0" w:type="nil"/>
    </w:tblPr>
  </w:style>
  <w:style w:type="table" w:customStyle="1" w:styleId="af4">
    <w:basedOn w:val="Tabelanormal"/>
    <w:tblPr>
      <w:tblStyleRowBandSize w:val="1"/>
      <w:tblStyleColBandSize w:val="1"/>
      <w:tblInd w:w="0" w:type="nil"/>
      <w:tblCellMar>
        <w:left w:w="70" w:type="dxa"/>
        <w:right w:w="70" w:type="dxa"/>
      </w:tblCellMar>
    </w:tblPr>
  </w:style>
  <w:style w:type="table" w:customStyle="1" w:styleId="af5">
    <w:basedOn w:val="Tabelanormal"/>
    <w:pPr>
      <w:spacing w:after="0" w:line="240" w:lineRule="auto"/>
    </w:pPr>
    <w:tblPr>
      <w:tblStyleRowBandSize w:val="1"/>
      <w:tblStyleColBandSize w:val="1"/>
      <w:tblInd w:w="0" w:type="nil"/>
    </w:tblPr>
  </w:style>
  <w:style w:type="table" w:customStyle="1" w:styleId="af6">
    <w:basedOn w:val="Tabelanormal"/>
    <w:tblPr>
      <w:tblStyleRowBandSize w:val="1"/>
      <w:tblStyleColBandSize w:val="1"/>
      <w:tblInd w:w="0" w:type="nil"/>
      <w:tblCellMar>
        <w:left w:w="70" w:type="dxa"/>
        <w:right w:w="70" w:type="dxa"/>
      </w:tblCellMar>
    </w:tblPr>
  </w:style>
  <w:style w:type="table" w:customStyle="1" w:styleId="af7">
    <w:basedOn w:val="Tabelanormal"/>
    <w:tblPr>
      <w:tblStyleRowBandSize w:val="1"/>
      <w:tblStyleColBandSize w:val="1"/>
      <w:tblInd w:w="0" w:type="nil"/>
      <w:tblCellMar>
        <w:left w:w="115" w:type="dxa"/>
        <w:right w:w="115" w:type="dxa"/>
      </w:tblCellMar>
    </w:tblPr>
  </w:style>
  <w:style w:type="table" w:customStyle="1" w:styleId="af8">
    <w:basedOn w:val="Tabelanormal"/>
    <w:tblPr>
      <w:tblStyleRowBandSize w:val="1"/>
      <w:tblStyleColBandSize w:val="1"/>
      <w:tblInd w:w="0" w:type="nil"/>
      <w:tblCellMar>
        <w:left w:w="70" w:type="dxa"/>
        <w:right w:w="70" w:type="dxa"/>
      </w:tblCellMar>
    </w:tblPr>
  </w:style>
  <w:style w:type="table" w:customStyle="1" w:styleId="af9">
    <w:basedOn w:val="Tabelanormal"/>
    <w:tblPr>
      <w:tblStyleRowBandSize w:val="1"/>
      <w:tblStyleColBandSize w:val="1"/>
      <w:tblInd w:w="0" w:type="nil"/>
      <w:tblCellMar>
        <w:left w:w="70" w:type="dxa"/>
        <w:right w:w="70" w:type="dxa"/>
      </w:tblCellMar>
    </w:tblPr>
  </w:style>
  <w:style w:type="table" w:customStyle="1" w:styleId="afa">
    <w:basedOn w:val="Tabelanormal"/>
    <w:tblPr>
      <w:tblStyleRowBandSize w:val="1"/>
      <w:tblStyleColBandSize w:val="1"/>
      <w:tblInd w:w="0" w:type="nil"/>
      <w:tblCellMar>
        <w:left w:w="70" w:type="dxa"/>
        <w:right w:w="70" w:type="dxa"/>
      </w:tblCellMar>
    </w:tblPr>
  </w:style>
  <w:style w:type="table" w:customStyle="1" w:styleId="afb">
    <w:basedOn w:val="Tabelanormal"/>
    <w:tblPr>
      <w:tblStyleRowBandSize w:val="1"/>
      <w:tblStyleColBandSize w:val="1"/>
      <w:tblInd w:w="0" w:type="nil"/>
      <w:tblCellMar>
        <w:left w:w="70" w:type="dxa"/>
        <w:right w:w="70" w:type="dxa"/>
      </w:tblCellMar>
    </w:tblPr>
  </w:style>
  <w:style w:type="table" w:customStyle="1" w:styleId="afc">
    <w:basedOn w:val="Tabelanormal"/>
    <w:tblPr>
      <w:tblStyleRowBandSize w:val="1"/>
      <w:tblStyleColBandSize w:val="1"/>
      <w:tblInd w:w="0" w:type="nil"/>
      <w:tblCellMar>
        <w:left w:w="115" w:type="dxa"/>
        <w:right w:w="115" w:type="dxa"/>
      </w:tblCellMar>
    </w:tblPr>
  </w:style>
  <w:style w:type="table" w:customStyle="1" w:styleId="afd">
    <w:basedOn w:val="Tabelanormal"/>
    <w:tblPr>
      <w:tblStyleRowBandSize w:val="1"/>
      <w:tblStyleColBandSize w:val="1"/>
      <w:tblInd w:w="0" w:type="nil"/>
      <w:tblCellMar>
        <w:left w:w="70" w:type="dxa"/>
        <w:right w:w="70" w:type="dxa"/>
      </w:tblCellMar>
    </w:tblPr>
  </w:style>
  <w:style w:type="table" w:customStyle="1" w:styleId="afe">
    <w:basedOn w:val="Tabelanormal"/>
    <w:tblPr>
      <w:tblStyleRowBandSize w:val="1"/>
      <w:tblStyleColBandSize w:val="1"/>
      <w:tblInd w:w="0" w:type="nil"/>
      <w:tblCellMar>
        <w:left w:w="115" w:type="dxa"/>
        <w:right w:w="115" w:type="dxa"/>
      </w:tblCellMar>
    </w:tblPr>
  </w:style>
  <w:style w:type="table" w:customStyle="1" w:styleId="aff">
    <w:basedOn w:val="Tabelanormal"/>
    <w:tblPr>
      <w:tblStyleRowBandSize w:val="1"/>
      <w:tblStyleColBandSize w:val="1"/>
      <w:tblInd w:w="0" w:type="nil"/>
      <w:tblCellMar>
        <w:left w:w="70" w:type="dxa"/>
        <w:right w:w="70" w:type="dxa"/>
      </w:tblCellMar>
    </w:tblPr>
  </w:style>
  <w:style w:type="table" w:customStyle="1" w:styleId="aff0">
    <w:basedOn w:val="Tabelanormal"/>
    <w:tblPr>
      <w:tblStyleRowBandSize w:val="1"/>
      <w:tblStyleColBandSize w:val="1"/>
      <w:tblInd w:w="0" w:type="nil"/>
      <w:tblCellMar>
        <w:left w:w="70" w:type="dxa"/>
        <w:right w:w="70" w:type="dxa"/>
      </w:tblCellMar>
    </w:tblPr>
  </w:style>
  <w:style w:type="table" w:customStyle="1" w:styleId="aff1">
    <w:basedOn w:val="Tabelanormal"/>
    <w:tblPr>
      <w:tblStyleRowBandSize w:val="1"/>
      <w:tblStyleColBandSize w:val="1"/>
      <w:tblInd w:w="0" w:type="nil"/>
      <w:tblCellMar>
        <w:left w:w="115" w:type="dxa"/>
        <w:right w:w="115" w:type="dxa"/>
      </w:tblCellMar>
    </w:tblPr>
  </w:style>
  <w:style w:type="table" w:customStyle="1" w:styleId="aff2">
    <w:basedOn w:val="Tabelanormal"/>
    <w:tblPr>
      <w:tblStyleRowBandSize w:val="1"/>
      <w:tblStyleColBandSize w:val="1"/>
      <w:tblInd w:w="0" w:type="nil"/>
      <w:tblCellMar>
        <w:left w:w="70" w:type="dxa"/>
        <w:right w:w="70" w:type="dxa"/>
      </w:tblCellMar>
    </w:tblPr>
  </w:style>
  <w:style w:type="table" w:customStyle="1" w:styleId="aff3">
    <w:basedOn w:val="Tabelanormal"/>
    <w:pPr>
      <w:spacing w:after="0" w:line="240" w:lineRule="auto"/>
    </w:pPr>
    <w:tblPr>
      <w:tblStyleRowBandSize w:val="1"/>
      <w:tblStyleColBandSize w:val="1"/>
      <w:tblInd w:w="0" w:type="nil"/>
    </w:tblPr>
  </w:style>
  <w:style w:type="table" w:customStyle="1" w:styleId="aff4">
    <w:basedOn w:val="Tabelanormal"/>
    <w:tblPr>
      <w:tblStyleRowBandSize w:val="1"/>
      <w:tblStyleColBandSize w:val="1"/>
      <w:tblInd w:w="0" w:type="nil"/>
      <w:tblCellMar>
        <w:left w:w="70" w:type="dxa"/>
        <w:right w:w="70" w:type="dxa"/>
      </w:tblCellMar>
    </w:tblPr>
  </w:style>
  <w:style w:type="table" w:customStyle="1" w:styleId="aff5">
    <w:basedOn w:val="Tabelanormal"/>
    <w:pPr>
      <w:spacing w:after="0" w:line="240" w:lineRule="auto"/>
    </w:pPr>
    <w:tblPr>
      <w:tblStyleRowBandSize w:val="1"/>
      <w:tblStyleColBandSize w:val="1"/>
      <w:tblInd w:w="0" w:type="nil"/>
    </w:tblPr>
  </w:style>
  <w:style w:type="table" w:customStyle="1" w:styleId="aff6">
    <w:basedOn w:val="Tabelanormal"/>
    <w:tblPr>
      <w:tblStyleRowBandSize w:val="1"/>
      <w:tblStyleColBandSize w:val="1"/>
      <w:tblInd w:w="0" w:type="nil"/>
      <w:tblCellMar>
        <w:left w:w="70" w:type="dxa"/>
        <w:right w:w="70" w:type="dxa"/>
      </w:tblCellMar>
    </w:tblPr>
  </w:style>
  <w:style w:type="table" w:customStyle="1" w:styleId="aff7">
    <w:basedOn w:val="Tabelanormal"/>
    <w:pPr>
      <w:spacing w:after="0" w:line="240" w:lineRule="auto"/>
    </w:pPr>
    <w:tblPr>
      <w:tblStyleRowBandSize w:val="1"/>
      <w:tblStyleColBandSize w:val="1"/>
      <w:tblInd w:w="0" w:type="nil"/>
    </w:tblPr>
  </w:style>
  <w:style w:type="table" w:customStyle="1" w:styleId="aff8">
    <w:basedOn w:val="Tabelanormal"/>
    <w:tblPr>
      <w:tblStyleRowBandSize w:val="1"/>
      <w:tblStyleColBandSize w:val="1"/>
      <w:tblInd w:w="0" w:type="nil"/>
      <w:tblCellMar>
        <w:left w:w="70" w:type="dxa"/>
        <w:right w:w="70" w:type="dxa"/>
      </w:tblCellMar>
    </w:tblPr>
  </w:style>
  <w:style w:type="table" w:customStyle="1" w:styleId="aff9">
    <w:basedOn w:val="Tabelanormal"/>
    <w:tblPr>
      <w:tblStyleRowBandSize w:val="1"/>
      <w:tblStyleColBandSize w:val="1"/>
      <w:tblInd w:w="0" w:type="nil"/>
      <w:tblCellMar>
        <w:left w:w="115" w:type="dxa"/>
        <w:right w:w="115" w:type="dxa"/>
      </w:tblCellMar>
    </w:tblPr>
  </w:style>
  <w:style w:type="table" w:customStyle="1" w:styleId="affa">
    <w:basedOn w:val="Tabelanormal"/>
    <w:tblPr>
      <w:tblStyleRowBandSize w:val="1"/>
      <w:tblStyleColBandSize w:val="1"/>
      <w:tblInd w:w="0" w:type="nil"/>
      <w:tblCellMar>
        <w:left w:w="70" w:type="dxa"/>
        <w:right w:w="70" w:type="dxa"/>
      </w:tblCellMar>
    </w:tblPr>
  </w:style>
  <w:style w:type="table" w:customStyle="1" w:styleId="affb">
    <w:basedOn w:val="Tabelanormal"/>
    <w:tblPr>
      <w:tblStyleRowBandSize w:val="1"/>
      <w:tblStyleColBandSize w:val="1"/>
      <w:tblInd w:w="0" w:type="nil"/>
      <w:tblCellMar>
        <w:left w:w="115" w:type="dxa"/>
        <w:right w:w="115" w:type="dxa"/>
      </w:tblCellMar>
    </w:tblPr>
  </w:style>
  <w:style w:type="table" w:customStyle="1" w:styleId="affc">
    <w:basedOn w:val="Tabelanormal"/>
    <w:tblPr>
      <w:tblStyleRowBandSize w:val="1"/>
      <w:tblStyleColBandSize w:val="1"/>
      <w:tblInd w:w="0" w:type="nil"/>
      <w:tblCellMar>
        <w:left w:w="70" w:type="dxa"/>
        <w:right w:w="70" w:type="dxa"/>
      </w:tblCellMar>
    </w:tblPr>
  </w:style>
  <w:style w:type="table" w:customStyle="1" w:styleId="affd">
    <w:basedOn w:val="Tabelanormal"/>
    <w:pPr>
      <w:spacing w:after="0" w:line="240" w:lineRule="auto"/>
    </w:pPr>
    <w:tblPr>
      <w:tblStyleRowBandSize w:val="1"/>
      <w:tblStyleColBandSize w:val="1"/>
      <w:tblInd w:w="0" w:type="nil"/>
    </w:tblPr>
  </w:style>
  <w:style w:type="table" w:customStyle="1" w:styleId="affe">
    <w:basedOn w:val="Tabelanormal"/>
    <w:tblPr>
      <w:tblStyleRowBandSize w:val="1"/>
      <w:tblStyleColBandSize w:val="1"/>
      <w:tblInd w:w="0" w:type="nil"/>
      <w:tblCellMar>
        <w:left w:w="70" w:type="dxa"/>
        <w:right w:w="70" w:type="dxa"/>
      </w:tblCellMar>
    </w:tblPr>
  </w:style>
  <w:style w:type="table" w:customStyle="1" w:styleId="afff">
    <w:basedOn w:val="Tabelanormal"/>
    <w:pPr>
      <w:spacing w:after="0" w:line="240" w:lineRule="auto"/>
    </w:pPr>
    <w:tblPr>
      <w:tblStyleRowBandSize w:val="1"/>
      <w:tblStyleColBandSize w:val="1"/>
      <w:tblInd w:w="0" w:type="nil"/>
    </w:tblPr>
  </w:style>
  <w:style w:type="table" w:customStyle="1" w:styleId="afff0">
    <w:basedOn w:val="Tabelanormal"/>
    <w:pPr>
      <w:spacing w:after="0" w:line="240" w:lineRule="auto"/>
    </w:pPr>
    <w:tblPr>
      <w:tblStyleRowBandSize w:val="1"/>
      <w:tblStyleColBandSize w:val="1"/>
      <w:tblInd w:w="0" w:type="nil"/>
    </w:tblPr>
  </w:style>
  <w:style w:type="table" w:customStyle="1" w:styleId="afff1">
    <w:basedOn w:val="Tabelanormal"/>
    <w:tblPr>
      <w:tblStyleRowBandSize w:val="1"/>
      <w:tblStyleColBandSize w:val="1"/>
      <w:tblInd w:w="0" w:type="nil"/>
      <w:tblCellMar>
        <w:left w:w="70" w:type="dxa"/>
        <w:right w:w="70" w:type="dxa"/>
      </w:tblCellMar>
    </w:tblPr>
  </w:style>
  <w:style w:type="table" w:customStyle="1" w:styleId="afff2">
    <w:basedOn w:val="Tabelanormal"/>
    <w:tblPr>
      <w:tblStyleRowBandSize w:val="1"/>
      <w:tblStyleColBandSize w:val="1"/>
      <w:tblInd w:w="0" w:type="nil"/>
      <w:tblCellMar>
        <w:left w:w="70" w:type="dxa"/>
        <w:right w:w="70" w:type="dxa"/>
      </w:tblCellMar>
    </w:tblPr>
  </w:style>
  <w:style w:type="table" w:customStyle="1" w:styleId="afff3">
    <w:basedOn w:val="Tabelanormal"/>
    <w:tblPr>
      <w:tblStyleRowBandSize w:val="1"/>
      <w:tblStyleColBandSize w:val="1"/>
      <w:tblInd w:w="0" w:type="nil"/>
      <w:tblCellMar>
        <w:left w:w="115" w:type="dxa"/>
        <w:right w:w="115" w:type="dxa"/>
      </w:tblCellMar>
    </w:tblPr>
  </w:style>
  <w:style w:type="table" w:customStyle="1" w:styleId="afff4">
    <w:basedOn w:val="Tabelanormal"/>
    <w:pPr>
      <w:spacing w:after="0" w:line="240" w:lineRule="auto"/>
    </w:pPr>
    <w:tblPr>
      <w:tblStyleRowBandSize w:val="1"/>
      <w:tblStyleColBandSize w:val="1"/>
      <w:tblInd w:w="0" w:type="nil"/>
    </w:tblPr>
  </w:style>
  <w:style w:type="table" w:customStyle="1" w:styleId="afff5">
    <w:basedOn w:val="Tabelanormal"/>
    <w:tblPr>
      <w:tblStyleRowBandSize w:val="1"/>
      <w:tblStyleColBandSize w:val="1"/>
      <w:tblInd w:w="0" w:type="nil"/>
      <w:tblCellMar>
        <w:left w:w="70" w:type="dxa"/>
        <w:right w:w="70" w:type="dxa"/>
      </w:tblCellMar>
    </w:tblPr>
  </w:style>
  <w:style w:type="table" w:customStyle="1" w:styleId="afff6">
    <w:basedOn w:val="Tabelanormal"/>
    <w:pPr>
      <w:spacing w:after="0" w:line="240" w:lineRule="auto"/>
    </w:pPr>
    <w:tblPr>
      <w:tblStyleRowBandSize w:val="1"/>
      <w:tblStyleColBandSize w:val="1"/>
      <w:tblInd w:w="0" w:type="nil"/>
    </w:tblPr>
  </w:style>
  <w:style w:type="table" w:customStyle="1" w:styleId="afff7">
    <w:basedOn w:val="Tabelanormal"/>
    <w:tblPr>
      <w:tblStyleRowBandSize w:val="1"/>
      <w:tblStyleColBandSize w:val="1"/>
      <w:tblInd w:w="0" w:type="nil"/>
      <w:tblCellMar>
        <w:left w:w="70" w:type="dxa"/>
        <w:right w:w="70" w:type="dxa"/>
      </w:tblCellMar>
    </w:tblPr>
  </w:style>
  <w:style w:type="table" w:customStyle="1" w:styleId="afff8">
    <w:basedOn w:val="Tabelanormal"/>
    <w:pPr>
      <w:spacing w:after="0" w:line="240" w:lineRule="auto"/>
    </w:pPr>
    <w:tblPr>
      <w:tblStyleRowBandSize w:val="1"/>
      <w:tblStyleColBandSize w:val="1"/>
      <w:tblInd w:w="0" w:type="nil"/>
    </w:tblPr>
  </w:style>
  <w:style w:type="table" w:customStyle="1" w:styleId="afff9">
    <w:basedOn w:val="Tabelanormal"/>
    <w:tblPr>
      <w:tblStyleRowBandSize w:val="1"/>
      <w:tblStyleColBandSize w:val="1"/>
      <w:tblInd w:w="0" w:type="nil"/>
      <w:tblCellMar>
        <w:left w:w="70" w:type="dxa"/>
        <w:right w:w="70" w:type="dxa"/>
      </w:tblCellMar>
    </w:tblPr>
  </w:style>
  <w:style w:type="table" w:customStyle="1" w:styleId="afffa">
    <w:basedOn w:val="Tabelanormal"/>
    <w:pPr>
      <w:spacing w:after="0" w:line="240" w:lineRule="auto"/>
    </w:pPr>
    <w:tblPr>
      <w:tblStyleRowBandSize w:val="1"/>
      <w:tblStyleColBandSize w:val="1"/>
      <w:tblInd w:w="0" w:type="nil"/>
    </w:tblPr>
  </w:style>
  <w:style w:type="table" w:customStyle="1" w:styleId="afffb">
    <w:basedOn w:val="Tabelanormal"/>
    <w:tblPr>
      <w:tblStyleRowBandSize w:val="1"/>
      <w:tblStyleColBandSize w:val="1"/>
      <w:tblInd w:w="0" w:type="nil"/>
      <w:tblCellMar>
        <w:left w:w="70" w:type="dxa"/>
        <w:right w:w="70" w:type="dxa"/>
      </w:tblCellMar>
    </w:tblPr>
  </w:style>
  <w:style w:type="table" w:customStyle="1" w:styleId="afffc">
    <w:basedOn w:val="Tabelanormal"/>
    <w:tblPr>
      <w:tblStyleRowBandSize w:val="1"/>
      <w:tblStyleColBandSize w:val="1"/>
      <w:tblInd w:w="0" w:type="nil"/>
      <w:tblCellMar>
        <w:left w:w="115" w:type="dxa"/>
        <w:right w:w="115" w:type="dxa"/>
      </w:tblCellMar>
    </w:tblPr>
  </w:style>
  <w:style w:type="table" w:customStyle="1" w:styleId="afffd">
    <w:basedOn w:val="Tabelanormal"/>
    <w:tblPr>
      <w:tblStyleRowBandSize w:val="1"/>
      <w:tblStyleColBandSize w:val="1"/>
      <w:tblInd w:w="0" w:type="nil"/>
      <w:tblCellMar>
        <w:left w:w="115" w:type="dxa"/>
        <w:right w:w="115" w:type="dxa"/>
      </w:tblCellMar>
    </w:tblPr>
  </w:style>
  <w:style w:type="table" w:customStyle="1" w:styleId="afffe">
    <w:basedOn w:val="Tabelanormal"/>
    <w:tblPr>
      <w:tblStyleRowBandSize w:val="1"/>
      <w:tblStyleColBandSize w:val="1"/>
      <w:tblInd w:w="0" w:type="nil"/>
      <w:tblCellMar>
        <w:left w:w="70" w:type="dxa"/>
        <w:right w:w="70" w:type="dxa"/>
      </w:tblCellMar>
    </w:tblPr>
  </w:style>
  <w:style w:type="table" w:customStyle="1" w:styleId="affff">
    <w:basedOn w:val="Tabelanormal"/>
    <w:tblPr>
      <w:tblStyleRowBandSize w:val="1"/>
      <w:tblStyleColBandSize w:val="1"/>
      <w:tblInd w:w="0" w:type="nil"/>
      <w:tblCellMar>
        <w:left w:w="70" w:type="dxa"/>
        <w:right w:w="70" w:type="dxa"/>
      </w:tblCellMar>
    </w:tblPr>
  </w:style>
  <w:style w:type="table" w:customStyle="1" w:styleId="affff0">
    <w:basedOn w:val="Tabelanormal"/>
    <w:tblPr>
      <w:tblStyleRowBandSize w:val="1"/>
      <w:tblStyleColBandSize w:val="1"/>
      <w:tblInd w:w="0" w:type="nil"/>
      <w:tblCellMar>
        <w:left w:w="70" w:type="dxa"/>
        <w:right w:w="70" w:type="dxa"/>
      </w:tblCellMar>
    </w:tblPr>
  </w:style>
  <w:style w:type="table" w:customStyle="1" w:styleId="affff1">
    <w:basedOn w:val="Tabelanormal"/>
    <w:tblPr>
      <w:tblStyleRowBandSize w:val="1"/>
      <w:tblStyleColBandSize w:val="1"/>
      <w:tblInd w:w="0" w:type="nil"/>
      <w:tblCellMar>
        <w:left w:w="70" w:type="dxa"/>
        <w:right w:w="70" w:type="dxa"/>
      </w:tblCellMar>
    </w:tblPr>
  </w:style>
  <w:style w:type="table" w:customStyle="1" w:styleId="affff2">
    <w:basedOn w:val="Tabelanormal"/>
    <w:tblPr>
      <w:tblStyleRowBandSize w:val="1"/>
      <w:tblStyleColBandSize w:val="1"/>
      <w:tblInd w:w="0" w:type="nil"/>
      <w:tblCellMar>
        <w:left w:w="70" w:type="dxa"/>
        <w:right w:w="70" w:type="dxa"/>
      </w:tblCellMar>
    </w:tblPr>
  </w:style>
  <w:style w:type="table" w:customStyle="1" w:styleId="affff3">
    <w:basedOn w:val="Tabelanormal"/>
    <w:tblPr>
      <w:tblStyleRowBandSize w:val="1"/>
      <w:tblStyleColBandSize w:val="1"/>
      <w:tblInd w:w="0" w:type="nil"/>
      <w:tblCellMar>
        <w:left w:w="70" w:type="dxa"/>
        <w:right w:w="70" w:type="dxa"/>
      </w:tblCellMar>
    </w:tblPr>
  </w:style>
  <w:style w:type="table" w:customStyle="1" w:styleId="affff4">
    <w:basedOn w:val="Tabelanormal"/>
    <w:tblPr>
      <w:tblStyleRowBandSize w:val="1"/>
      <w:tblStyleColBandSize w:val="1"/>
      <w:tblInd w:w="0" w:type="nil"/>
      <w:tblCellMar>
        <w:left w:w="70" w:type="dxa"/>
        <w:right w:w="70" w:type="dxa"/>
      </w:tblCellMar>
    </w:tblPr>
  </w:style>
  <w:style w:type="table" w:customStyle="1" w:styleId="affff5">
    <w:basedOn w:val="Tabelanormal"/>
    <w:tblPr>
      <w:tblStyleRowBandSize w:val="1"/>
      <w:tblStyleColBandSize w:val="1"/>
      <w:tblInd w:w="0" w:type="nil"/>
      <w:tblCellMar>
        <w:left w:w="70" w:type="dxa"/>
        <w:right w:w="70" w:type="dxa"/>
      </w:tblCellMar>
    </w:tblPr>
  </w:style>
  <w:style w:type="table" w:customStyle="1" w:styleId="affff6">
    <w:basedOn w:val="Tabelanormal"/>
    <w:tblPr>
      <w:tblStyleRowBandSize w:val="1"/>
      <w:tblStyleColBandSize w:val="1"/>
      <w:tblInd w:w="0" w:type="nil"/>
      <w:tblCellMar>
        <w:left w:w="70" w:type="dxa"/>
        <w:right w:w="70" w:type="dxa"/>
      </w:tblCellMar>
    </w:tblPr>
  </w:style>
  <w:style w:type="table" w:customStyle="1" w:styleId="affff7">
    <w:basedOn w:val="Tabelanormal"/>
    <w:tblPr>
      <w:tblStyleRowBandSize w:val="1"/>
      <w:tblStyleColBandSize w:val="1"/>
      <w:tblInd w:w="0" w:type="nil"/>
      <w:tblCellMar>
        <w:left w:w="70" w:type="dxa"/>
        <w:right w:w="70" w:type="dxa"/>
      </w:tblCellMar>
    </w:tblPr>
  </w:style>
  <w:style w:type="table" w:customStyle="1" w:styleId="affff8">
    <w:basedOn w:val="Tabelanormal"/>
    <w:tblPr>
      <w:tblStyleRowBandSize w:val="1"/>
      <w:tblStyleColBandSize w:val="1"/>
      <w:tblInd w:w="0" w:type="nil"/>
      <w:tblCellMar>
        <w:left w:w="70" w:type="dxa"/>
        <w:right w:w="70" w:type="dxa"/>
      </w:tblCellMar>
    </w:tblPr>
  </w:style>
  <w:style w:type="table" w:customStyle="1" w:styleId="affff9">
    <w:basedOn w:val="Tabelanormal"/>
    <w:tblPr>
      <w:tblStyleRowBandSize w:val="1"/>
      <w:tblStyleColBandSize w:val="1"/>
      <w:tblInd w:w="0" w:type="nil"/>
      <w:tblCellMar>
        <w:left w:w="70" w:type="dxa"/>
        <w:right w:w="70" w:type="dxa"/>
      </w:tblCellMar>
    </w:tblPr>
  </w:style>
  <w:style w:type="paragraph" w:styleId="PargrafodaLista">
    <w:name w:val="List Paragraph"/>
    <w:basedOn w:val="Normal"/>
    <w:uiPriority w:val="34"/>
    <w:qFormat/>
    <w:rsid w:val="00B40BD2"/>
    <w:pPr>
      <w:ind w:left="720"/>
      <w:contextualSpacing/>
    </w:pPr>
    <w:rPr>
      <w:lang w:eastAsia="pt-BR"/>
    </w:rPr>
  </w:style>
  <w:style w:type="paragraph" w:styleId="Cabealho">
    <w:name w:val="header"/>
    <w:basedOn w:val="Normal"/>
    <w:link w:val="CabealhoChar"/>
    <w:uiPriority w:val="99"/>
    <w:semiHidden/>
    <w:unhideWhenUsed/>
    <w:rsid w:val="009D0D98"/>
    <w:pPr>
      <w:tabs>
        <w:tab w:val="center" w:pos="4252"/>
        <w:tab w:val="right" w:pos="8504"/>
      </w:tabs>
      <w:spacing w:before="0" w:after="0" w:line="240" w:lineRule="auto"/>
    </w:pPr>
  </w:style>
  <w:style w:type="character" w:customStyle="1" w:styleId="CabealhoChar">
    <w:name w:val="Cabeçalho Char"/>
    <w:basedOn w:val="Fontepargpadro"/>
    <w:link w:val="Cabealho"/>
    <w:uiPriority w:val="99"/>
    <w:semiHidden/>
    <w:rsid w:val="009D0D98"/>
  </w:style>
  <w:style w:type="paragraph" w:styleId="Rodap">
    <w:name w:val="footer"/>
    <w:basedOn w:val="Normal"/>
    <w:link w:val="RodapChar"/>
    <w:uiPriority w:val="99"/>
    <w:semiHidden/>
    <w:unhideWhenUsed/>
    <w:rsid w:val="009D0D98"/>
    <w:pPr>
      <w:tabs>
        <w:tab w:val="center" w:pos="4252"/>
        <w:tab w:val="right" w:pos="8504"/>
      </w:tabs>
      <w:spacing w:before="0" w:after="0" w:line="240" w:lineRule="auto"/>
    </w:pPr>
  </w:style>
  <w:style w:type="character" w:customStyle="1" w:styleId="RodapChar">
    <w:name w:val="Rodapé Char"/>
    <w:basedOn w:val="Fontepargpadro"/>
    <w:link w:val="Rodap"/>
    <w:uiPriority w:val="99"/>
    <w:semiHidden/>
    <w:rsid w:val="009D0D98"/>
  </w:style>
  <w:style w:type="table" w:customStyle="1" w:styleId="TableNormal1">
    <w:name w:val="Table Normal1"/>
    <w:rsid w:val="00B47CA5"/>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9.png"/><Relationship Id="rId26" Type="http://schemas.openxmlformats.org/officeDocument/2006/relationships/hyperlink" Target="http://conitec.gov.br" TargetMode="External"/><Relationship Id="rId39" Type="http://schemas.openxmlformats.org/officeDocument/2006/relationships/hyperlink" Target="https://doi.org/10.1097/BOR.0000000000000480" TargetMode="External"/><Relationship Id="rId21" Type="http://schemas.openxmlformats.org/officeDocument/2006/relationships/image" Target="media/image12.png"/><Relationship Id="rId34" Type="http://schemas.openxmlformats.org/officeDocument/2006/relationships/hyperlink" Target="https://doi.org/10.1002/acr.22539" TargetMode="External"/><Relationship Id="rId42" Type="http://schemas.openxmlformats.org/officeDocument/2006/relationships/hyperlink" Target="https://doi.org/https://www.ema.europa.eu/en/medicines/human/EPAR/saphnelo" TargetMode="External"/><Relationship Id="rId47" Type="http://schemas.openxmlformats.org/officeDocument/2006/relationships/hyperlink" Target="https://www.has-sante.fr/upload/docs/application/pdf/2023-04/saphnelo_071223_summary_ct19785.pdf" TargetMode="External"/><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hyperlink" Target="https://www.scottishmedicines.org.uk/Home" TargetMode="Externa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hyperlink" Target="https://doi.org/10.1097/BOR.0000000000000318" TargetMode="External"/><Relationship Id="rId37" Type="http://schemas.openxmlformats.org/officeDocument/2006/relationships/hyperlink" Target="https://doi.org/10.3390/jcm10050998" TargetMode="External"/><Relationship Id="rId40" Type="http://schemas.openxmlformats.org/officeDocument/2006/relationships/hyperlink" Target="https://doi.org/10.1136/annrheumdis-2018-213512" TargetMode="External"/><Relationship Id="rId45" Type="http://schemas.openxmlformats.org/officeDocument/2006/relationships/hyperlink" Target="https://doi.org/10.1016/S2665-9913(19)30076-1" TargetMode="Externa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hyperlink" Target="http://www.pbs.gov.au/pbs/home" TargetMode="External"/><Relationship Id="rId36" Type="http://schemas.openxmlformats.org/officeDocument/2006/relationships/hyperlink" Target="https://doi.org/10.3389/fimmu.2022.999704" TargetMode="Externa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doi.org/10.1016/j.molmed.2017.05.006" TargetMode="External"/><Relationship Id="rId44" Type="http://schemas.openxmlformats.org/officeDocument/2006/relationships/hyperlink" Target="https://doi.org/10.1136/jcp.56.7.481"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4.xml"/><Relationship Id="rId27" Type="http://schemas.openxmlformats.org/officeDocument/2006/relationships/hyperlink" Target="http://www.nice.org.uk" TargetMode="External"/><Relationship Id="rId30" Type="http://schemas.openxmlformats.org/officeDocument/2006/relationships/hyperlink" Target="https://www.has-sante.fr" TargetMode="External"/><Relationship Id="rId35" Type="http://schemas.openxmlformats.org/officeDocument/2006/relationships/hyperlink" Target="https://doi.org/10.1016/j.jaut.2018.11.001" TargetMode="External"/><Relationship Id="rId43" Type="http://schemas.openxmlformats.org/officeDocument/2006/relationships/hyperlink" Target="https://doi.org/10.1136/lupus-2018-000261" TargetMode="External"/><Relationship Id="rId48"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8.png"/><Relationship Id="rId25" Type="http://schemas.openxmlformats.org/officeDocument/2006/relationships/hyperlink" Target="http://www.cadth.ca/" TargetMode="External"/><Relationship Id="rId33" Type="http://schemas.openxmlformats.org/officeDocument/2006/relationships/hyperlink" Target="https://doi.org/10.1136/annrheumdis-2018-214819" TargetMode="External"/><Relationship Id="rId38" Type="http://schemas.openxmlformats.org/officeDocument/2006/relationships/hyperlink" Target="https://doi.org/10.1136/ard-2022-223035" TargetMode="External"/><Relationship Id="rId46" Type="http://schemas.openxmlformats.org/officeDocument/2006/relationships/hyperlink" Target="https://www.nice.org.uk/guidance/ta793/chapter/Advice" TargetMode="External"/><Relationship Id="rId20" Type="http://schemas.openxmlformats.org/officeDocument/2006/relationships/image" Target="media/image11.png"/><Relationship Id="rId41" Type="http://schemas.openxmlformats.org/officeDocument/2006/relationships/hyperlink" Target="https://doi.org/10.1136/lupus-2019-000372" TargetMode="External"/><Relationship Id="rId1" Type="http://schemas.openxmlformats.org/officeDocument/2006/relationships/customXml" Target="../customXml/item1.xml"/><Relationship Id="rId6"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da8edfd-dad8-424a-8895-2bba090d051c" xsi:nil="true"/>
    <lcf76f155ced4ddcb4097134ff3c332f xmlns="81d39372-0596-407b-8d3d-07a78b81bb4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2FF1DB93DCC6D428FCFFBDE556AD1A3" ma:contentTypeVersion="17" ma:contentTypeDescription="Crie um novo documento." ma:contentTypeScope="" ma:versionID="c22b8c4523fa55c170b3b16948c7efa8">
  <xsd:schema xmlns:xsd="http://www.w3.org/2001/XMLSchema" xmlns:xs="http://www.w3.org/2001/XMLSchema" xmlns:p="http://schemas.microsoft.com/office/2006/metadata/properties" xmlns:ns2="81d39372-0596-407b-8d3d-07a78b81bb4f" xmlns:ns3="fda8edfd-dad8-424a-8895-2bba090d051c" targetNamespace="http://schemas.microsoft.com/office/2006/metadata/properties" ma:root="true" ma:fieldsID="907351e70f5dd9d38d07f6b64ac7e42f" ns2:_="" ns3:_="">
    <xsd:import namespace="81d39372-0596-407b-8d3d-07a78b81bb4f"/>
    <xsd:import namespace="fda8edfd-dad8-424a-8895-2bba090d051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d39372-0596-407b-8d3d-07a78b81bb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afd22834-720d-4be5-8a17-75eb8688063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a8edfd-dad8-424a-8895-2bba090d051c" elementFormDefault="qualified">
    <xsd:import namespace="http://schemas.microsoft.com/office/2006/documentManagement/types"/>
    <xsd:import namespace="http://schemas.microsoft.com/office/infopath/2007/PartnerControls"/>
    <xsd:element name="SharedWithUsers" ma:index="17"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9eb8b91d-090c-43ed-9968-529a6fbd0f7f}" ma:internalName="TaxCatchAll" ma:showField="CatchAllData" ma:web="fda8edfd-dad8-424a-8895-2bba090d05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FE7480-FC8D-4F18-AFA9-ACF5642AF946}">
  <ds:schemaRefs>
    <ds:schemaRef ds:uri="http://schemas.microsoft.com/office/2006/metadata/properties"/>
    <ds:schemaRef ds:uri="http://schemas.microsoft.com/office/infopath/2007/PartnerControls"/>
    <ds:schemaRef ds:uri="fda8edfd-dad8-424a-8895-2bba090d051c"/>
    <ds:schemaRef ds:uri="81d39372-0596-407b-8d3d-07a78b81bb4f"/>
  </ds:schemaRefs>
</ds:datastoreItem>
</file>

<file path=customXml/itemProps2.xml><?xml version="1.0" encoding="utf-8"?>
<ds:datastoreItem xmlns:ds="http://schemas.openxmlformats.org/officeDocument/2006/customXml" ds:itemID="{4613E3E8-EA78-423E-B839-7EB87E0912D9}">
  <ds:schemaRefs>
    <ds:schemaRef ds:uri="http://schemas.microsoft.com/sharepoint/v3/contenttype/forms"/>
  </ds:schemaRefs>
</ds:datastoreItem>
</file>

<file path=customXml/itemProps3.xml><?xml version="1.0" encoding="utf-8"?>
<ds:datastoreItem xmlns:ds="http://schemas.openxmlformats.org/officeDocument/2006/customXml" ds:itemID="{B4ECDA2B-12A1-41F5-BFA5-DA91ED5E6B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d39372-0596-407b-8d3d-07a78b81bb4f"/>
    <ds:schemaRef ds:uri="fda8edfd-dad8-424a-8895-2bba090d05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8479</TotalTime>
  <Pages>154</Pages>
  <Words>34660</Words>
  <Characters>187164</Characters>
  <Application>Microsoft Office Word</Application>
  <DocSecurity>0</DocSecurity>
  <Lines>1559</Lines>
  <Paragraphs>442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221382</CharactersWithSpaces>
  <SharedDoc>false</SharedDoc>
  <HLinks>
    <vt:vector size="576" baseType="variant">
      <vt:variant>
        <vt:i4>4128832</vt:i4>
      </vt:variant>
      <vt:variant>
        <vt:i4>312</vt:i4>
      </vt:variant>
      <vt:variant>
        <vt:i4>0</vt:i4>
      </vt:variant>
      <vt:variant>
        <vt:i4>5</vt:i4>
      </vt:variant>
      <vt:variant>
        <vt:lpwstr>https://www.has-sante.fr/upload/docs/application/pdf/2023-04/saphnelo_071223_summary_ct19785.pdf</vt:lpwstr>
      </vt:variant>
      <vt:variant>
        <vt:lpwstr/>
      </vt:variant>
      <vt:variant>
        <vt:i4>786527</vt:i4>
      </vt:variant>
      <vt:variant>
        <vt:i4>309</vt:i4>
      </vt:variant>
      <vt:variant>
        <vt:i4>0</vt:i4>
      </vt:variant>
      <vt:variant>
        <vt:i4>5</vt:i4>
      </vt:variant>
      <vt:variant>
        <vt:lpwstr>https://www.nice.org.uk/guidance/ta793/chapter/Advice</vt:lpwstr>
      </vt:variant>
      <vt:variant>
        <vt:lpwstr/>
      </vt:variant>
      <vt:variant>
        <vt:i4>5046278</vt:i4>
      </vt:variant>
      <vt:variant>
        <vt:i4>306</vt:i4>
      </vt:variant>
      <vt:variant>
        <vt:i4>0</vt:i4>
      </vt:variant>
      <vt:variant>
        <vt:i4>5</vt:i4>
      </vt:variant>
      <vt:variant>
        <vt:lpwstr>https://doi.org/10.1056/NEJMoa1912196</vt:lpwstr>
      </vt:variant>
      <vt:variant>
        <vt:lpwstr/>
      </vt:variant>
      <vt:variant>
        <vt:i4>196608</vt:i4>
      </vt:variant>
      <vt:variant>
        <vt:i4>303</vt:i4>
      </vt:variant>
      <vt:variant>
        <vt:i4>0</vt:i4>
      </vt:variant>
      <vt:variant>
        <vt:i4>5</vt:i4>
      </vt:variant>
      <vt:variant>
        <vt:lpwstr>https://doi.org/10.1016/S2665-9913(19)30076-1</vt:lpwstr>
      </vt:variant>
      <vt:variant>
        <vt:lpwstr/>
      </vt:variant>
      <vt:variant>
        <vt:i4>5832778</vt:i4>
      </vt:variant>
      <vt:variant>
        <vt:i4>300</vt:i4>
      </vt:variant>
      <vt:variant>
        <vt:i4>0</vt:i4>
      </vt:variant>
      <vt:variant>
        <vt:i4>5</vt:i4>
      </vt:variant>
      <vt:variant>
        <vt:lpwstr>https://doi.org/10.1136/jcp.56.7.481</vt:lpwstr>
      </vt:variant>
      <vt:variant>
        <vt:lpwstr/>
      </vt:variant>
      <vt:variant>
        <vt:i4>196638</vt:i4>
      </vt:variant>
      <vt:variant>
        <vt:i4>297</vt:i4>
      </vt:variant>
      <vt:variant>
        <vt:i4>0</vt:i4>
      </vt:variant>
      <vt:variant>
        <vt:i4>5</vt:i4>
      </vt:variant>
      <vt:variant>
        <vt:lpwstr>https://doi.org/10.1136/lupus-2018-000261</vt:lpwstr>
      </vt:variant>
      <vt:variant>
        <vt:lpwstr/>
      </vt:variant>
      <vt:variant>
        <vt:i4>7143520</vt:i4>
      </vt:variant>
      <vt:variant>
        <vt:i4>294</vt:i4>
      </vt:variant>
      <vt:variant>
        <vt:i4>0</vt:i4>
      </vt:variant>
      <vt:variant>
        <vt:i4>5</vt:i4>
      </vt:variant>
      <vt:variant>
        <vt:lpwstr>https://doi.org/https://www.ema.europa.eu/en/medicines/human/EPAR/saphnelo</vt:lpwstr>
      </vt:variant>
      <vt:variant>
        <vt:lpwstr/>
      </vt:variant>
      <vt:variant>
        <vt:i4>196639</vt:i4>
      </vt:variant>
      <vt:variant>
        <vt:i4>291</vt:i4>
      </vt:variant>
      <vt:variant>
        <vt:i4>0</vt:i4>
      </vt:variant>
      <vt:variant>
        <vt:i4>5</vt:i4>
      </vt:variant>
      <vt:variant>
        <vt:lpwstr>https://doi.org/10.1136/lupus-2019-000372</vt:lpwstr>
      </vt:variant>
      <vt:variant>
        <vt:lpwstr/>
      </vt:variant>
      <vt:variant>
        <vt:i4>7864434</vt:i4>
      </vt:variant>
      <vt:variant>
        <vt:i4>288</vt:i4>
      </vt:variant>
      <vt:variant>
        <vt:i4>0</vt:i4>
      </vt:variant>
      <vt:variant>
        <vt:i4>5</vt:i4>
      </vt:variant>
      <vt:variant>
        <vt:lpwstr>https://doi.org/10.1136/annrheumdis-2018-213512</vt:lpwstr>
      </vt:variant>
      <vt:variant>
        <vt:lpwstr/>
      </vt:variant>
      <vt:variant>
        <vt:i4>6225989</vt:i4>
      </vt:variant>
      <vt:variant>
        <vt:i4>285</vt:i4>
      </vt:variant>
      <vt:variant>
        <vt:i4>0</vt:i4>
      </vt:variant>
      <vt:variant>
        <vt:i4>5</vt:i4>
      </vt:variant>
      <vt:variant>
        <vt:lpwstr>https://doi.org/10.1097/BOR.0000000000000480</vt:lpwstr>
      </vt:variant>
      <vt:variant>
        <vt:lpwstr/>
      </vt:variant>
      <vt:variant>
        <vt:i4>8323191</vt:i4>
      </vt:variant>
      <vt:variant>
        <vt:i4>282</vt:i4>
      </vt:variant>
      <vt:variant>
        <vt:i4>0</vt:i4>
      </vt:variant>
      <vt:variant>
        <vt:i4>5</vt:i4>
      </vt:variant>
      <vt:variant>
        <vt:lpwstr>https://doi.org/10.1136/ard-2022-223035</vt:lpwstr>
      </vt:variant>
      <vt:variant>
        <vt:lpwstr/>
      </vt:variant>
      <vt:variant>
        <vt:i4>7536738</vt:i4>
      </vt:variant>
      <vt:variant>
        <vt:i4>279</vt:i4>
      </vt:variant>
      <vt:variant>
        <vt:i4>0</vt:i4>
      </vt:variant>
      <vt:variant>
        <vt:i4>5</vt:i4>
      </vt:variant>
      <vt:variant>
        <vt:lpwstr>https://doi.org/10.3390/jcm10050998</vt:lpwstr>
      </vt:variant>
      <vt:variant>
        <vt:lpwstr/>
      </vt:variant>
      <vt:variant>
        <vt:i4>65550</vt:i4>
      </vt:variant>
      <vt:variant>
        <vt:i4>276</vt:i4>
      </vt:variant>
      <vt:variant>
        <vt:i4>0</vt:i4>
      </vt:variant>
      <vt:variant>
        <vt:i4>5</vt:i4>
      </vt:variant>
      <vt:variant>
        <vt:lpwstr>https://doi.org/10.3389/fimmu.2022.999704</vt:lpwstr>
      </vt:variant>
      <vt:variant>
        <vt:lpwstr/>
      </vt:variant>
      <vt:variant>
        <vt:i4>3407904</vt:i4>
      </vt:variant>
      <vt:variant>
        <vt:i4>273</vt:i4>
      </vt:variant>
      <vt:variant>
        <vt:i4>0</vt:i4>
      </vt:variant>
      <vt:variant>
        <vt:i4>5</vt:i4>
      </vt:variant>
      <vt:variant>
        <vt:lpwstr>https://doi.org/10.1016/j.jaut.2018.11.001</vt:lpwstr>
      </vt:variant>
      <vt:variant>
        <vt:lpwstr/>
      </vt:variant>
      <vt:variant>
        <vt:i4>983069</vt:i4>
      </vt:variant>
      <vt:variant>
        <vt:i4>270</vt:i4>
      </vt:variant>
      <vt:variant>
        <vt:i4>0</vt:i4>
      </vt:variant>
      <vt:variant>
        <vt:i4>5</vt:i4>
      </vt:variant>
      <vt:variant>
        <vt:lpwstr>https://doi.org/10.1007/s11910-019-1012-1</vt:lpwstr>
      </vt:variant>
      <vt:variant>
        <vt:lpwstr/>
      </vt:variant>
      <vt:variant>
        <vt:i4>5636174</vt:i4>
      </vt:variant>
      <vt:variant>
        <vt:i4>267</vt:i4>
      </vt:variant>
      <vt:variant>
        <vt:i4>0</vt:i4>
      </vt:variant>
      <vt:variant>
        <vt:i4>5</vt:i4>
      </vt:variant>
      <vt:variant>
        <vt:lpwstr>https://doi.org/10.1016/j.autrev.2018.01.007</vt:lpwstr>
      </vt:variant>
      <vt:variant>
        <vt:lpwstr/>
      </vt:variant>
      <vt:variant>
        <vt:i4>6225996</vt:i4>
      </vt:variant>
      <vt:variant>
        <vt:i4>264</vt:i4>
      </vt:variant>
      <vt:variant>
        <vt:i4>0</vt:i4>
      </vt:variant>
      <vt:variant>
        <vt:i4>5</vt:i4>
      </vt:variant>
      <vt:variant>
        <vt:lpwstr>https://doi.org/10.1002/acr.22539</vt:lpwstr>
      </vt:variant>
      <vt:variant>
        <vt:lpwstr/>
      </vt:variant>
      <vt:variant>
        <vt:i4>8323199</vt:i4>
      </vt:variant>
      <vt:variant>
        <vt:i4>261</vt:i4>
      </vt:variant>
      <vt:variant>
        <vt:i4>0</vt:i4>
      </vt:variant>
      <vt:variant>
        <vt:i4>5</vt:i4>
      </vt:variant>
      <vt:variant>
        <vt:lpwstr>https://doi.org/10.1136/annrheumdis-2018-214819</vt:lpwstr>
      </vt:variant>
      <vt:variant>
        <vt:lpwstr/>
      </vt:variant>
      <vt:variant>
        <vt:i4>5242956</vt:i4>
      </vt:variant>
      <vt:variant>
        <vt:i4>258</vt:i4>
      </vt:variant>
      <vt:variant>
        <vt:i4>0</vt:i4>
      </vt:variant>
      <vt:variant>
        <vt:i4>5</vt:i4>
      </vt:variant>
      <vt:variant>
        <vt:lpwstr>https://doi.org/10.1097/BOR.0000000000000318</vt:lpwstr>
      </vt:variant>
      <vt:variant>
        <vt:lpwstr/>
      </vt:variant>
      <vt:variant>
        <vt:i4>4456533</vt:i4>
      </vt:variant>
      <vt:variant>
        <vt:i4>255</vt:i4>
      </vt:variant>
      <vt:variant>
        <vt:i4>0</vt:i4>
      </vt:variant>
      <vt:variant>
        <vt:i4>5</vt:i4>
      </vt:variant>
      <vt:variant>
        <vt:lpwstr>https://doi.org/10.1016/j.molmed.2017.05.006</vt:lpwstr>
      </vt:variant>
      <vt:variant>
        <vt:lpwstr/>
      </vt:variant>
      <vt:variant>
        <vt:i4>5046341</vt:i4>
      </vt:variant>
      <vt:variant>
        <vt:i4>252</vt:i4>
      </vt:variant>
      <vt:variant>
        <vt:i4>0</vt:i4>
      </vt:variant>
      <vt:variant>
        <vt:i4>5</vt:i4>
      </vt:variant>
      <vt:variant>
        <vt:lpwstr>https://www.has-sante.fr/</vt:lpwstr>
      </vt:variant>
      <vt:variant>
        <vt:lpwstr/>
      </vt:variant>
      <vt:variant>
        <vt:i4>4325393</vt:i4>
      </vt:variant>
      <vt:variant>
        <vt:i4>249</vt:i4>
      </vt:variant>
      <vt:variant>
        <vt:i4>0</vt:i4>
      </vt:variant>
      <vt:variant>
        <vt:i4>5</vt:i4>
      </vt:variant>
      <vt:variant>
        <vt:lpwstr>https://www.scottishmedicines.org.uk/Home</vt:lpwstr>
      </vt:variant>
      <vt:variant>
        <vt:lpwstr/>
      </vt:variant>
      <vt:variant>
        <vt:i4>3145774</vt:i4>
      </vt:variant>
      <vt:variant>
        <vt:i4>246</vt:i4>
      </vt:variant>
      <vt:variant>
        <vt:i4>0</vt:i4>
      </vt:variant>
      <vt:variant>
        <vt:i4>5</vt:i4>
      </vt:variant>
      <vt:variant>
        <vt:lpwstr>http://www.pbs.gov.au/pbs/home</vt:lpwstr>
      </vt:variant>
      <vt:variant>
        <vt:lpwstr/>
      </vt:variant>
      <vt:variant>
        <vt:i4>4128801</vt:i4>
      </vt:variant>
      <vt:variant>
        <vt:i4>243</vt:i4>
      </vt:variant>
      <vt:variant>
        <vt:i4>0</vt:i4>
      </vt:variant>
      <vt:variant>
        <vt:i4>5</vt:i4>
      </vt:variant>
      <vt:variant>
        <vt:lpwstr>http://www.nice.org.uk/</vt:lpwstr>
      </vt:variant>
      <vt:variant>
        <vt:lpwstr/>
      </vt:variant>
      <vt:variant>
        <vt:i4>7143543</vt:i4>
      </vt:variant>
      <vt:variant>
        <vt:i4>240</vt:i4>
      </vt:variant>
      <vt:variant>
        <vt:i4>0</vt:i4>
      </vt:variant>
      <vt:variant>
        <vt:i4>5</vt:i4>
      </vt:variant>
      <vt:variant>
        <vt:lpwstr>http://conitec.gov.br/</vt:lpwstr>
      </vt:variant>
      <vt:variant>
        <vt:lpwstr/>
      </vt:variant>
      <vt:variant>
        <vt:i4>524298</vt:i4>
      </vt:variant>
      <vt:variant>
        <vt:i4>237</vt:i4>
      </vt:variant>
      <vt:variant>
        <vt:i4>0</vt:i4>
      </vt:variant>
      <vt:variant>
        <vt:i4>5</vt:i4>
      </vt:variant>
      <vt:variant>
        <vt:lpwstr>http://www.cadth.ca/</vt:lpwstr>
      </vt:variant>
      <vt:variant>
        <vt:lpwstr/>
      </vt:variant>
      <vt:variant>
        <vt:i4>786475</vt:i4>
      </vt:variant>
      <vt:variant>
        <vt:i4>233</vt:i4>
      </vt:variant>
      <vt:variant>
        <vt:i4>0</vt:i4>
      </vt:variant>
      <vt:variant>
        <vt:i4>5</vt:i4>
      </vt:variant>
      <vt:variant>
        <vt:lpwstr/>
      </vt:variant>
      <vt:variant>
        <vt:lpwstr>_zijx9sefrp2t</vt:lpwstr>
      </vt:variant>
      <vt:variant>
        <vt:i4>6160500</vt:i4>
      </vt:variant>
      <vt:variant>
        <vt:i4>230</vt:i4>
      </vt:variant>
      <vt:variant>
        <vt:i4>0</vt:i4>
      </vt:variant>
      <vt:variant>
        <vt:i4>5</vt:i4>
      </vt:variant>
      <vt:variant>
        <vt:lpwstr/>
      </vt:variant>
      <vt:variant>
        <vt:lpwstr>_jbkn59sujks4</vt:lpwstr>
      </vt:variant>
      <vt:variant>
        <vt:i4>4456488</vt:i4>
      </vt:variant>
      <vt:variant>
        <vt:i4>227</vt:i4>
      </vt:variant>
      <vt:variant>
        <vt:i4>0</vt:i4>
      </vt:variant>
      <vt:variant>
        <vt:i4>5</vt:i4>
      </vt:variant>
      <vt:variant>
        <vt:lpwstr/>
      </vt:variant>
      <vt:variant>
        <vt:lpwstr>_rhb7ntioa320</vt:lpwstr>
      </vt:variant>
      <vt:variant>
        <vt:i4>1835121</vt:i4>
      </vt:variant>
      <vt:variant>
        <vt:i4>224</vt:i4>
      </vt:variant>
      <vt:variant>
        <vt:i4>0</vt:i4>
      </vt:variant>
      <vt:variant>
        <vt:i4>5</vt:i4>
      </vt:variant>
      <vt:variant>
        <vt:lpwstr/>
      </vt:variant>
      <vt:variant>
        <vt:lpwstr>_37mb4igutgex</vt:lpwstr>
      </vt:variant>
      <vt:variant>
        <vt:i4>786494</vt:i4>
      </vt:variant>
      <vt:variant>
        <vt:i4>218</vt:i4>
      </vt:variant>
      <vt:variant>
        <vt:i4>0</vt:i4>
      </vt:variant>
      <vt:variant>
        <vt:i4>5</vt:i4>
      </vt:variant>
      <vt:variant>
        <vt:lpwstr/>
      </vt:variant>
      <vt:variant>
        <vt:lpwstr>_3uwv8lxhkfcw</vt:lpwstr>
      </vt:variant>
      <vt:variant>
        <vt:i4>5701759</vt:i4>
      </vt:variant>
      <vt:variant>
        <vt:i4>215</vt:i4>
      </vt:variant>
      <vt:variant>
        <vt:i4>0</vt:i4>
      </vt:variant>
      <vt:variant>
        <vt:i4>5</vt:i4>
      </vt:variant>
      <vt:variant>
        <vt:lpwstr/>
      </vt:variant>
      <vt:variant>
        <vt:lpwstr>_r7dcz8auo954</vt:lpwstr>
      </vt:variant>
      <vt:variant>
        <vt:i4>6226030</vt:i4>
      </vt:variant>
      <vt:variant>
        <vt:i4>212</vt:i4>
      </vt:variant>
      <vt:variant>
        <vt:i4>0</vt:i4>
      </vt:variant>
      <vt:variant>
        <vt:i4>5</vt:i4>
      </vt:variant>
      <vt:variant>
        <vt:lpwstr/>
      </vt:variant>
      <vt:variant>
        <vt:lpwstr>_jt92ahomwruv</vt:lpwstr>
      </vt:variant>
      <vt:variant>
        <vt:i4>1048632</vt:i4>
      </vt:variant>
      <vt:variant>
        <vt:i4>209</vt:i4>
      </vt:variant>
      <vt:variant>
        <vt:i4>0</vt:i4>
      </vt:variant>
      <vt:variant>
        <vt:i4>5</vt:i4>
      </vt:variant>
      <vt:variant>
        <vt:lpwstr/>
      </vt:variant>
      <vt:variant>
        <vt:lpwstr>_9uj32p3du570</vt:lpwstr>
      </vt:variant>
      <vt:variant>
        <vt:i4>5242923</vt:i4>
      </vt:variant>
      <vt:variant>
        <vt:i4>203</vt:i4>
      </vt:variant>
      <vt:variant>
        <vt:i4>0</vt:i4>
      </vt:variant>
      <vt:variant>
        <vt:i4>5</vt:i4>
      </vt:variant>
      <vt:variant>
        <vt:lpwstr/>
      </vt:variant>
      <vt:variant>
        <vt:lpwstr>_2x22n05v8x3m</vt:lpwstr>
      </vt:variant>
      <vt:variant>
        <vt:i4>4784239</vt:i4>
      </vt:variant>
      <vt:variant>
        <vt:i4>200</vt:i4>
      </vt:variant>
      <vt:variant>
        <vt:i4>0</vt:i4>
      </vt:variant>
      <vt:variant>
        <vt:i4>5</vt:i4>
      </vt:variant>
      <vt:variant>
        <vt:lpwstr/>
      </vt:variant>
      <vt:variant>
        <vt:lpwstr>_6zh2e9dsg2qv</vt:lpwstr>
      </vt:variant>
      <vt:variant>
        <vt:i4>6029372</vt:i4>
      </vt:variant>
      <vt:variant>
        <vt:i4>197</vt:i4>
      </vt:variant>
      <vt:variant>
        <vt:i4>0</vt:i4>
      </vt:variant>
      <vt:variant>
        <vt:i4>5</vt:i4>
      </vt:variant>
      <vt:variant>
        <vt:lpwstr/>
      </vt:variant>
      <vt:variant>
        <vt:lpwstr>_fvrx7ramyrgc</vt:lpwstr>
      </vt:variant>
      <vt:variant>
        <vt:i4>5242993</vt:i4>
      </vt:variant>
      <vt:variant>
        <vt:i4>194</vt:i4>
      </vt:variant>
      <vt:variant>
        <vt:i4>0</vt:i4>
      </vt:variant>
      <vt:variant>
        <vt:i4>5</vt:i4>
      </vt:variant>
      <vt:variant>
        <vt:lpwstr/>
      </vt:variant>
      <vt:variant>
        <vt:lpwstr>_2br9bopmxwz</vt:lpwstr>
      </vt:variant>
      <vt:variant>
        <vt:i4>1769591</vt:i4>
      </vt:variant>
      <vt:variant>
        <vt:i4>191</vt:i4>
      </vt:variant>
      <vt:variant>
        <vt:i4>0</vt:i4>
      </vt:variant>
      <vt:variant>
        <vt:i4>5</vt:i4>
      </vt:variant>
      <vt:variant>
        <vt:lpwstr/>
      </vt:variant>
      <vt:variant>
        <vt:lpwstr>_qilgjpfb842t</vt:lpwstr>
      </vt:variant>
      <vt:variant>
        <vt:i4>4391037</vt:i4>
      </vt:variant>
      <vt:variant>
        <vt:i4>188</vt:i4>
      </vt:variant>
      <vt:variant>
        <vt:i4>0</vt:i4>
      </vt:variant>
      <vt:variant>
        <vt:i4>5</vt:i4>
      </vt:variant>
      <vt:variant>
        <vt:lpwstr/>
      </vt:variant>
      <vt:variant>
        <vt:lpwstr>_kp7hiachx3mu</vt:lpwstr>
      </vt:variant>
      <vt:variant>
        <vt:i4>5308448</vt:i4>
      </vt:variant>
      <vt:variant>
        <vt:i4>185</vt:i4>
      </vt:variant>
      <vt:variant>
        <vt:i4>0</vt:i4>
      </vt:variant>
      <vt:variant>
        <vt:i4>5</vt:i4>
      </vt:variant>
      <vt:variant>
        <vt:lpwstr/>
      </vt:variant>
      <vt:variant>
        <vt:lpwstr>_g9xi4hc5crz</vt:lpwstr>
      </vt:variant>
      <vt:variant>
        <vt:i4>458815</vt:i4>
      </vt:variant>
      <vt:variant>
        <vt:i4>182</vt:i4>
      </vt:variant>
      <vt:variant>
        <vt:i4>0</vt:i4>
      </vt:variant>
      <vt:variant>
        <vt:i4>5</vt:i4>
      </vt:variant>
      <vt:variant>
        <vt:lpwstr/>
      </vt:variant>
      <vt:variant>
        <vt:lpwstr>_hgxjm28np12</vt:lpwstr>
      </vt:variant>
      <vt:variant>
        <vt:i4>6226047</vt:i4>
      </vt:variant>
      <vt:variant>
        <vt:i4>179</vt:i4>
      </vt:variant>
      <vt:variant>
        <vt:i4>0</vt:i4>
      </vt:variant>
      <vt:variant>
        <vt:i4>5</vt:i4>
      </vt:variant>
      <vt:variant>
        <vt:lpwstr/>
      </vt:variant>
      <vt:variant>
        <vt:lpwstr>_5wa330cd00kg</vt:lpwstr>
      </vt:variant>
      <vt:variant>
        <vt:i4>5242933</vt:i4>
      </vt:variant>
      <vt:variant>
        <vt:i4>176</vt:i4>
      </vt:variant>
      <vt:variant>
        <vt:i4>0</vt:i4>
      </vt:variant>
      <vt:variant>
        <vt:i4>5</vt:i4>
      </vt:variant>
      <vt:variant>
        <vt:lpwstr/>
      </vt:variant>
      <vt:variant>
        <vt:lpwstr>_qnqyhbeo2poi</vt:lpwstr>
      </vt:variant>
      <vt:variant>
        <vt:i4>852006</vt:i4>
      </vt:variant>
      <vt:variant>
        <vt:i4>173</vt:i4>
      </vt:variant>
      <vt:variant>
        <vt:i4>0</vt:i4>
      </vt:variant>
      <vt:variant>
        <vt:i4>5</vt:i4>
      </vt:variant>
      <vt:variant>
        <vt:lpwstr/>
      </vt:variant>
      <vt:variant>
        <vt:lpwstr>_smh5z22igz9y</vt:lpwstr>
      </vt:variant>
      <vt:variant>
        <vt:i4>5439588</vt:i4>
      </vt:variant>
      <vt:variant>
        <vt:i4>170</vt:i4>
      </vt:variant>
      <vt:variant>
        <vt:i4>0</vt:i4>
      </vt:variant>
      <vt:variant>
        <vt:i4>5</vt:i4>
      </vt:variant>
      <vt:variant>
        <vt:lpwstr/>
      </vt:variant>
      <vt:variant>
        <vt:lpwstr>_u3kkxmnihg3</vt:lpwstr>
      </vt:variant>
      <vt:variant>
        <vt:i4>5505070</vt:i4>
      </vt:variant>
      <vt:variant>
        <vt:i4>167</vt:i4>
      </vt:variant>
      <vt:variant>
        <vt:i4>0</vt:i4>
      </vt:variant>
      <vt:variant>
        <vt:i4>5</vt:i4>
      </vt:variant>
      <vt:variant>
        <vt:lpwstr/>
      </vt:variant>
      <vt:variant>
        <vt:lpwstr>_9697lhna1ygz</vt:lpwstr>
      </vt:variant>
      <vt:variant>
        <vt:i4>5570657</vt:i4>
      </vt:variant>
      <vt:variant>
        <vt:i4>164</vt:i4>
      </vt:variant>
      <vt:variant>
        <vt:i4>0</vt:i4>
      </vt:variant>
      <vt:variant>
        <vt:i4>5</vt:i4>
      </vt:variant>
      <vt:variant>
        <vt:lpwstr/>
      </vt:variant>
      <vt:variant>
        <vt:lpwstr>_pd0chjtfp5y2</vt:lpwstr>
      </vt:variant>
      <vt:variant>
        <vt:i4>4456507</vt:i4>
      </vt:variant>
      <vt:variant>
        <vt:i4>161</vt:i4>
      </vt:variant>
      <vt:variant>
        <vt:i4>0</vt:i4>
      </vt:variant>
      <vt:variant>
        <vt:i4>5</vt:i4>
      </vt:variant>
      <vt:variant>
        <vt:lpwstr/>
      </vt:variant>
      <vt:variant>
        <vt:lpwstr>_mijy34wwo7hd</vt:lpwstr>
      </vt:variant>
      <vt:variant>
        <vt:i4>4587647</vt:i4>
      </vt:variant>
      <vt:variant>
        <vt:i4>158</vt:i4>
      </vt:variant>
      <vt:variant>
        <vt:i4>0</vt:i4>
      </vt:variant>
      <vt:variant>
        <vt:i4>5</vt:i4>
      </vt:variant>
      <vt:variant>
        <vt:lpwstr/>
      </vt:variant>
      <vt:variant>
        <vt:lpwstr>_rd1wypsrm1b1</vt:lpwstr>
      </vt:variant>
      <vt:variant>
        <vt:i4>6029352</vt:i4>
      </vt:variant>
      <vt:variant>
        <vt:i4>155</vt:i4>
      </vt:variant>
      <vt:variant>
        <vt:i4>0</vt:i4>
      </vt:variant>
      <vt:variant>
        <vt:i4>5</vt:i4>
      </vt:variant>
      <vt:variant>
        <vt:lpwstr/>
      </vt:variant>
      <vt:variant>
        <vt:lpwstr>_4lqoy2d5oskt</vt:lpwstr>
      </vt:variant>
      <vt:variant>
        <vt:i4>5177381</vt:i4>
      </vt:variant>
      <vt:variant>
        <vt:i4>152</vt:i4>
      </vt:variant>
      <vt:variant>
        <vt:i4>0</vt:i4>
      </vt:variant>
      <vt:variant>
        <vt:i4>5</vt:i4>
      </vt:variant>
      <vt:variant>
        <vt:lpwstr/>
      </vt:variant>
      <vt:variant>
        <vt:lpwstr>_u5f5a7du28kt</vt:lpwstr>
      </vt:variant>
      <vt:variant>
        <vt:i4>4194418</vt:i4>
      </vt:variant>
      <vt:variant>
        <vt:i4>149</vt:i4>
      </vt:variant>
      <vt:variant>
        <vt:i4>0</vt:i4>
      </vt:variant>
      <vt:variant>
        <vt:i4>5</vt:i4>
      </vt:variant>
      <vt:variant>
        <vt:lpwstr/>
      </vt:variant>
      <vt:variant>
        <vt:lpwstr>_m3wd3yzatbga</vt:lpwstr>
      </vt:variant>
      <vt:variant>
        <vt:i4>1179696</vt:i4>
      </vt:variant>
      <vt:variant>
        <vt:i4>146</vt:i4>
      </vt:variant>
      <vt:variant>
        <vt:i4>0</vt:i4>
      </vt:variant>
      <vt:variant>
        <vt:i4>5</vt:i4>
      </vt:variant>
      <vt:variant>
        <vt:lpwstr/>
      </vt:variant>
      <vt:variant>
        <vt:lpwstr>_s9o0yj5t3xq2</vt:lpwstr>
      </vt:variant>
      <vt:variant>
        <vt:i4>4259885</vt:i4>
      </vt:variant>
      <vt:variant>
        <vt:i4>143</vt:i4>
      </vt:variant>
      <vt:variant>
        <vt:i4>0</vt:i4>
      </vt:variant>
      <vt:variant>
        <vt:i4>5</vt:i4>
      </vt:variant>
      <vt:variant>
        <vt:lpwstr/>
      </vt:variant>
      <vt:variant>
        <vt:lpwstr>_ckkco4yy27mx</vt:lpwstr>
      </vt:variant>
      <vt:variant>
        <vt:i4>917547</vt:i4>
      </vt:variant>
      <vt:variant>
        <vt:i4>140</vt:i4>
      </vt:variant>
      <vt:variant>
        <vt:i4>0</vt:i4>
      </vt:variant>
      <vt:variant>
        <vt:i4>5</vt:i4>
      </vt:variant>
      <vt:variant>
        <vt:lpwstr/>
      </vt:variant>
      <vt:variant>
        <vt:lpwstr>_t13nsp73yhtt</vt:lpwstr>
      </vt:variant>
      <vt:variant>
        <vt:i4>5177385</vt:i4>
      </vt:variant>
      <vt:variant>
        <vt:i4>137</vt:i4>
      </vt:variant>
      <vt:variant>
        <vt:i4>0</vt:i4>
      </vt:variant>
      <vt:variant>
        <vt:i4>5</vt:i4>
      </vt:variant>
      <vt:variant>
        <vt:lpwstr/>
      </vt:variant>
      <vt:variant>
        <vt:lpwstr>_myy8lhg2hm8j</vt:lpwstr>
      </vt:variant>
      <vt:variant>
        <vt:i4>4259938</vt:i4>
      </vt:variant>
      <vt:variant>
        <vt:i4>134</vt:i4>
      </vt:variant>
      <vt:variant>
        <vt:i4>0</vt:i4>
      </vt:variant>
      <vt:variant>
        <vt:i4>5</vt:i4>
      </vt:variant>
      <vt:variant>
        <vt:lpwstr/>
      </vt:variant>
      <vt:variant>
        <vt:lpwstr>_w76ykdja3v2f</vt:lpwstr>
      </vt:variant>
      <vt:variant>
        <vt:i4>5374002</vt:i4>
      </vt:variant>
      <vt:variant>
        <vt:i4>131</vt:i4>
      </vt:variant>
      <vt:variant>
        <vt:i4>0</vt:i4>
      </vt:variant>
      <vt:variant>
        <vt:i4>5</vt:i4>
      </vt:variant>
      <vt:variant>
        <vt:lpwstr/>
      </vt:variant>
      <vt:variant>
        <vt:lpwstr>_sd8nh93f48v1</vt:lpwstr>
      </vt:variant>
      <vt:variant>
        <vt:i4>1114160</vt:i4>
      </vt:variant>
      <vt:variant>
        <vt:i4>128</vt:i4>
      </vt:variant>
      <vt:variant>
        <vt:i4>0</vt:i4>
      </vt:variant>
      <vt:variant>
        <vt:i4>5</vt:i4>
      </vt:variant>
      <vt:variant>
        <vt:lpwstr/>
      </vt:variant>
      <vt:variant>
        <vt:lpwstr>_cdfnwonx9r4j</vt:lpwstr>
      </vt:variant>
      <vt:variant>
        <vt:i4>5374067</vt:i4>
      </vt:variant>
      <vt:variant>
        <vt:i4>125</vt:i4>
      </vt:variant>
      <vt:variant>
        <vt:i4>0</vt:i4>
      </vt:variant>
      <vt:variant>
        <vt:i4>5</vt:i4>
      </vt:variant>
      <vt:variant>
        <vt:lpwstr/>
      </vt:variant>
      <vt:variant>
        <vt:lpwstr>_87jjvwqbmdj9</vt:lpwstr>
      </vt:variant>
      <vt:variant>
        <vt:i4>55</vt:i4>
      </vt:variant>
      <vt:variant>
        <vt:i4>122</vt:i4>
      </vt:variant>
      <vt:variant>
        <vt:i4>0</vt:i4>
      </vt:variant>
      <vt:variant>
        <vt:i4>5</vt:i4>
      </vt:variant>
      <vt:variant>
        <vt:lpwstr/>
      </vt:variant>
      <vt:variant>
        <vt:lpwstr>_1ksv4uv</vt:lpwstr>
      </vt:variant>
      <vt:variant>
        <vt:i4>4915252</vt:i4>
      </vt:variant>
      <vt:variant>
        <vt:i4>119</vt:i4>
      </vt:variant>
      <vt:variant>
        <vt:i4>0</vt:i4>
      </vt:variant>
      <vt:variant>
        <vt:i4>5</vt:i4>
      </vt:variant>
      <vt:variant>
        <vt:lpwstr/>
      </vt:variant>
      <vt:variant>
        <vt:lpwstr>_3hyod2gi2700</vt:lpwstr>
      </vt:variant>
      <vt:variant>
        <vt:i4>5177392</vt:i4>
      </vt:variant>
      <vt:variant>
        <vt:i4>116</vt:i4>
      </vt:variant>
      <vt:variant>
        <vt:i4>0</vt:i4>
      </vt:variant>
      <vt:variant>
        <vt:i4>5</vt:i4>
      </vt:variant>
      <vt:variant>
        <vt:lpwstr/>
      </vt:variant>
      <vt:variant>
        <vt:lpwstr>_klh5pc50ceji</vt:lpwstr>
      </vt:variant>
      <vt:variant>
        <vt:i4>1769534</vt:i4>
      </vt:variant>
      <vt:variant>
        <vt:i4>107</vt:i4>
      </vt:variant>
      <vt:variant>
        <vt:i4>0</vt:i4>
      </vt:variant>
      <vt:variant>
        <vt:i4>5</vt:i4>
      </vt:variant>
      <vt:variant>
        <vt:lpwstr/>
      </vt:variant>
      <vt:variant>
        <vt:lpwstr>_58qydynig028</vt:lpwstr>
      </vt:variant>
      <vt:variant>
        <vt:i4>589862</vt:i4>
      </vt:variant>
      <vt:variant>
        <vt:i4>104</vt:i4>
      </vt:variant>
      <vt:variant>
        <vt:i4>0</vt:i4>
      </vt:variant>
      <vt:variant>
        <vt:i4>5</vt:i4>
      </vt:variant>
      <vt:variant>
        <vt:lpwstr/>
      </vt:variant>
      <vt:variant>
        <vt:lpwstr>_l4t8iwd4i6u4</vt:lpwstr>
      </vt:variant>
      <vt:variant>
        <vt:i4>1507454</vt:i4>
      </vt:variant>
      <vt:variant>
        <vt:i4>101</vt:i4>
      </vt:variant>
      <vt:variant>
        <vt:i4>0</vt:i4>
      </vt:variant>
      <vt:variant>
        <vt:i4>5</vt:i4>
      </vt:variant>
      <vt:variant>
        <vt:lpwstr/>
      </vt:variant>
      <vt:variant>
        <vt:lpwstr>_65nnsdhf8xlp</vt:lpwstr>
      </vt:variant>
      <vt:variant>
        <vt:i4>458798</vt:i4>
      </vt:variant>
      <vt:variant>
        <vt:i4>95</vt:i4>
      </vt:variant>
      <vt:variant>
        <vt:i4>0</vt:i4>
      </vt:variant>
      <vt:variant>
        <vt:i4>5</vt:i4>
      </vt:variant>
      <vt:variant>
        <vt:lpwstr/>
      </vt:variant>
      <vt:variant>
        <vt:lpwstr>_3tbugp1</vt:lpwstr>
      </vt:variant>
      <vt:variant>
        <vt:i4>1245281</vt:i4>
      </vt:variant>
      <vt:variant>
        <vt:i4>92</vt:i4>
      </vt:variant>
      <vt:variant>
        <vt:i4>0</vt:i4>
      </vt:variant>
      <vt:variant>
        <vt:i4>5</vt:i4>
      </vt:variant>
      <vt:variant>
        <vt:lpwstr/>
      </vt:variant>
      <vt:variant>
        <vt:lpwstr>_19c6y18</vt:lpwstr>
      </vt:variant>
      <vt:variant>
        <vt:i4>786473</vt:i4>
      </vt:variant>
      <vt:variant>
        <vt:i4>89</vt:i4>
      </vt:variant>
      <vt:variant>
        <vt:i4>0</vt:i4>
      </vt:variant>
      <vt:variant>
        <vt:i4>5</vt:i4>
      </vt:variant>
      <vt:variant>
        <vt:lpwstr/>
      </vt:variant>
      <vt:variant>
        <vt:lpwstr>_2u6wntf</vt:lpwstr>
      </vt:variant>
      <vt:variant>
        <vt:i4>786488</vt:i4>
      </vt:variant>
      <vt:variant>
        <vt:i4>86</vt:i4>
      </vt:variant>
      <vt:variant>
        <vt:i4>0</vt:i4>
      </vt:variant>
      <vt:variant>
        <vt:i4>5</vt:i4>
      </vt:variant>
      <vt:variant>
        <vt:lpwstr/>
      </vt:variant>
      <vt:variant>
        <vt:lpwstr>_4f1mdlm</vt:lpwstr>
      </vt:variant>
      <vt:variant>
        <vt:i4>2031655</vt:i4>
      </vt:variant>
      <vt:variant>
        <vt:i4>83</vt:i4>
      </vt:variant>
      <vt:variant>
        <vt:i4>0</vt:i4>
      </vt:variant>
      <vt:variant>
        <vt:i4>5</vt:i4>
      </vt:variant>
      <vt:variant>
        <vt:lpwstr/>
      </vt:variant>
      <vt:variant>
        <vt:lpwstr>_3fwokq0</vt:lpwstr>
      </vt:variant>
      <vt:variant>
        <vt:i4>7667733</vt:i4>
      </vt:variant>
      <vt:variant>
        <vt:i4>80</vt:i4>
      </vt:variant>
      <vt:variant>
        <vt:i4>0</vt:i4>
      </vt:variant>
      <vt:variant>
        <vt:i4>5</vt:i4>
      </vt:variant>
      <vt:variant>
        <vt:lpwstr/>
      </vt:variant>
      <vt:variant>
        <vt:lpwstr>_vx1227</vt:lpwstr>
      </vt:variant>
      <vt:variant>
        <vt:i4>5701692</vt:i4>
      </vt:variant>
      <vt:variant>
        <vt:i4>77</vt:i4>
      </vt:variant>
      <vt:variant>
        <vt:i4>0</vt:i4>
      </vt:variant>
      <vt:variant>
        <vt:i4>5</vt:i4>
      </vt:variant>
      <vt:variant>
        <vt:lpwstr/>
      </vt:variant>
      <vt:variant>
        <vt:lpwstr>_2grqrue</vt:lpwstr>
      </vt:variant>
      <vt:variant>
        <vt:i4>6094948</vt:i4>
      </vt:variant>
      <vt:variant>
        <vt:i4>74</vt:i4>
      </vt:variant>
      <vt:variant>
        <vt:i4>0</vt:i4>
      </vt:variant>
      <vt:variant>
        <vt:i4>5</vt:i4>
      </vt:variant>
      <vt:variant>
        <vt:lpwstr/>
      </vt:variant>
      <vt:variant>
        <vt:lpwstr>_41mghml</vt:lpwstr>
      </vt:variant>
      <vt:variant>
        <vt:i4>5111925</vt:i4>
      </vt:variant>
      <vt:variant>
        <vt:i4>71</vt:i4>
      </vt:variant>
      <vt:variant>
        <vt:i4>0</vt:i4>
      </vt:variant>
      <vt:variant>
        <vt:i4>5</vt:i4>
      </vt:variant>
      <vt:variant>
        <vt:lpwstr/>
      </vt:variant>
      <vt:variant>
        <vt:lpwstr>_32hioqz</vt:lpwstr>
      </vt:variant>
      <vt:variant>
        <vt:i4>2883585</vt:i4>
      </vt:variant>
      <vt:variant>
        <vt:i4>68</vt:i4>
      </vt:variant>
      <vt:variant>
        <vt:i4>0</vt:i4>
      </vt:variant>
      <vt:variant>
        <vt:i4>5</vt:i4>
      </vt:variant>
      <vt:variant>
        <vt:lpwstr/>
      </vt:variant>
      <vt:variant>
        <vt:lpwstr>_ihv636</vt:lpwstr>
      </vt:variant>
      <vt:variant>
        <vt:i4>196671</vt:i4>
      </vt:variant>
      <vt:variant>
        <vt:i4>65</vt:i4>
      </vt:variant>
      <vt:variant>
        <vt:i4>0</vt:i4>
      </vt:variant>
      <vt:variant>
        <vt:i4>5</vt:i4>
      </vt:variant>
      <vt:variant>
        <vt:lpwstr/>
      </vt:variant>
      <vt:variant>
        <vt:lpwstr>_3o7alnk</vt:lpwstr>
      </vt:variant>
      <vt:variant>
        <vt:i4>4587647</vt:i4>
      </vt:variant>
      <vt:variant>
        <vt:i4>62</vt:i4>
      </vt:variant>
      <vt:variant>
        <vt:i4>0</vt:i4>
      </vt:variant>
      <vt:variant>
        <vt:i4>5</vt:i4>
      </vt:variant>
      <vt:variant>
        <vt:lpwstr/>
      </vt:variant>
      <vt:variant>
        <vt:lpwstr>_147n2zr</vt:lpwstr>
      </vt:variant>
      <vt:variant>
        <vt:i4>5242941</vt:i4>
      </vt:variant>
      <vt:variant>
        <vt:i4>56</vt:i4>
      </vt:variant>
      <vt:variant>
        <vt:i4>0</vt:i4>
      </vt:variant>
      <vt:variant>
        <vt:i4>5</vt:i4>
      </vt:variant>
      <vt:variant>
        <vt:lpwstr/>
      </vt:variant>
      <vt:variant>
        <vt:lpwstr>_1pxezwc</vt:lpwstr>
      </vt:variant>
      <vt:variant>
        <vt:i4>5898341</vt:i4>
      </vt:variant>
      <vt:variant>
        <vt:i4>53</vt:i4>
      </vt:variant>
      <vt:variant>
        <vt:i4>0</vt:i4>
      </vt:variant>
      <vt:variant>
        <vt:i4>5</vt:i4>
      </vt:variant>
      <vt:variant>
        <vt:lpwstr/>
      </vt:variant>
      <vt:variant>
        <vt:lpwstr>_3as4poj</vt:lpwstr>
      </vt:variant>
      <vt:variant>
        <vt:i4>5439608</vt:i4>
      </vt:variant>
      <vt:variant>
        <vt:i4>50</vt:i4>
      </vt:variant>
      <vt:variant>
        <vt:i4>0</vt:i4>
      </vt:variant>
      <vt:variant>
        <vt:i4>5</vt:i4>
      </vt:variant>
      <vt:variant>
        <vt:lpwstr/>
      </vt:variant>
      <vt:variant>
        <vt:lpwstr>_2bn6wsx</vt:lpwstr>
      </vt:variant>
      <vt:variant>
        <vt:i4>131123</vt:i4>
      </vt:variant>
      <vt:variant>
        <vt:i4>47</vt:i4>
      </vt:variant>
      <vt:variant>
        <vt:i4>0</vt:i4>
      </vt:variant>
      <vt:variant>
        <vt:i4>5</vt:i4>
      </vt:variant>
      <vt:variant>
        <vt:lpwstr/>
      </vt:variant>
      <vt:variant>
        <vt:lpwstr>_3whwml4</vt:lpwstr>
      </vt:variant>
      <vt:variant>
        <vt:i4>589949</vt:i4>
      </vt:variant>
      <vt:variant>
        <vt:i4>44</vt:i4>
      </vt:variant>
      <vt:variant>
        <vt:i4>0</vt:i4>
      </vt:variant>
      <vt:variant>
        <vt:i4>5</vt:i4>
      </vt:variant>
      <vt:variant>
        <vt:lpwstr/>
      </vt:variant>
      <vt:variant>
        <vt:lpwstr>_1ci93xb</vt:lpwstr>
      </vt:variant>
      <vt:variant>
        <vt:i4>1638449</vt:i4>
      </vt:variant>
      <vt:variant>
        <vt:i4>41</vt:i4>
      </vt:variant>
      <vt:variant>
        <vt:i4>0</vt:i4>
      </vt:variant>
      <vt:variant>
        <vt:i4>5</vt:i4>
      </vt:variant>
      <vt:variant>
        <vt:lpwstr/>
      </vt:variant>
      <vt:variant>
        <vt:lpwstr>_4i7ojhp</vt:lpwstr>
      </vt:variant>
      <vt:variant>
        <vt:i4>4390953</vt:i4>
      </vt:variant>
      <vt:variant>
        <vt:i4>35</vt:i4>
      </vt:variant>
      <vt:variant>
        <vt:i4>0</vt:i4>
      </vt:variant>
      <vt:variant>
        <vt:i4>5</vt:i4>
      </vt:variant>
      <vt:variant>
        <vt:lpwstr/>
      </vt:variant>
      <vt:variant>
        <vt:lpwstr>_3j2qqm3</vt:lpwstr>
      </vt:variant>
      <vt:variant>
        <vt:i4>5898295</vt:i4>
      </vt:variant>
      <vt:variant>
        <vt:i4>32</vt:i4>
      </vt:variant>
      <vt:variant>
        <vt:i4>0</vt:i4>
      </vt:variant>
      <vt:variant>
        <vt:i4>5</vt:i4>
      </vt:variant>
      <vt:variant>
        <vt:lpwstr/>
      </vt:variant>
      <vt:variant>
        <vt:lpwstr>_2jxsxqh</vt:lpwstr>
      </vt:variant>
      <vt:variant>
        <vt:i4>1704047</vt:i4>
      </vt:variant>
      <vt:variant>
        <vt:i4>29</vt:i4>
      </vt:variant>
      <vt:variant>
        <vt:i4>0</vt:i4>
      </vt:variant>
      <vt:variant>
        <vt:i4>5</vt:i4>
      </vt:variant>
      <vt:variant>
        <vt:lpwstr/>
      </vt:variant>
      <vt:variant>
        <vt:lpwstr>_35nkun2</vt:lpwstr>
      </vt:variant>
      <vt:variant>
        <vt:i4>4325414</vt:i4>
      </vt:variant>
      <vt:variant>
        <vt:i4>23</vt:i4>
      </vt:variant>
      <vt:variant>
        <vt:i4>0</vt:i4>
      </vt:variant>
      <vt:variant>
        <vt:i4>5</vt:i4>
      </vt:variant>
      <vt:variant>
        <vt:lpwstr/>
      </vt:variant>
      <vt:variant>
        <vt:lpwstr>_2s8eyo1</vt:lpwstr>
      </vt:variant>
      <vt:variant>
        <vt:i4>5242984</vt:i4>
      </vt:variant>
      <vt:variant>
        <vt:i4>20</vt:i4>
      </vt:variant>
      <vt:variant>
        <vt:i4>0</vt:i4>
      </vt:variant>
      <vt:variant>
        <vt:i4>5</vt:i4>
      </vt:variant>
      <vt:variant>
        <vt:lpwstr/>
      </vt:variant>
      <vt:variant>
        <vt:lpwstr>_4d34og8</vt:lpwstr>
      </vt:variant>
      <vt:variant>
        <vt:i4>5308464</vt:i4>
      </vt:variant>
      <vt:variant>
        <vt:i4>17</vt:i4>
      </vt:variant>
      <vt:variant>
        <vt:i4>0</vt:i4>
      </vt:variant>
      <vt:variant>
        <vt:i4>5</vt:i4>
      </vt:variant>
      <vt:variant>
        <vt:lpwstr/>
      </vt:variant>
      <vt:variant>
        <vt:lpwstr>_1t3h5sf</vt:lpwstr>
      </vt:variant>
      <vt:variant>
        <vt:i4>5308518</vt:i4>
      </vt:variant>
      <vt:variant>
        <vt:i4>14</vt:i4>
      </vt:variant>
      <vt:variant>
        <vt:i4>0</vt:i4>
      </vt:variant>
      <vt:variant>
        <vt:i4>5</vt:i4>
      </vt:variant>
      <vt:variant>
        <vt:lpwstr/>
      </vt:variant>
      <vt:variant>
        <vt:lpwstr>_3dy6vkm</vt:lpwstr>
      </vt:variant>
      <vt:variant>
        <vt:i4>6881349</vt:i4>
      </vt:variant>
      <vt:variant>
        <vt:i4>11</vt:i4>
      </vt:variant>
      <vt:variant>
        <vt:i4>0</vt:i4>
      </vt:variant>
      <vt:variant>
        <vt:i4>5</vt:i4>
      </vt:variant>
      <vt:variant>
        <vt:lpwstr/>
      </vt:variant>
      <vt:variant>
        <vt:lpwstr>_tyjcwt</vt:lpwstr>
      </vt:variant>
      <vt:variant>
        <vt:i4>1638452</vt:i4>
      </vt:variant>
      <vt:variant>
        <vt:i4>8</vt:i4>
      </vt:variant>
      <vt:variant>
        <vt:i4>0</vt:i4>
      </vt:variant>
      <vt:variant>
        <vt:i4>5</vt:i4>
      </vt:variant>
      <vt:variant>
        <vt:lpwstr/>
      </vt:variant>
      <vt:variant>
        <vt:lpwstr>_3znysh7</vt:lpwstr>
      </vt:variant>
      <vt:variant>
        <vt:i4>131119</vt:i4>
      </vt:variant>
      <vt:variant>
        <vt:i4>5</vt:i4>
      </vt:variant>
      <vt:variant>
        <vt:i4>0</vt:i4>
      </vt:variant>
      <vt:variant>
        <vt:i4>5</vt:i4>
      </vt:variant>
      <vt:variant>
        <vt:lpwstr/>
      </vt:variant>
      <vt:variant>
        <vt:lpwstr>_1fob9te</vt:lpwstr>
      </vt:variant>
      <vt:variant>
        <vt:i4>5177395</vt:i4>
      </vt:variant>
      <vt:variant>
        <vt:i4>2</vt:i4>
      </vt:variant>
      <vt:variant>
        <vt:i4>0</vt:i4>
      </vt:variant>
      <vt:variant>
        <vt:i4>5</vt:i4>
      </vt:variant>
      <vt:variant>
        <vt:lpwstr/>
      </vt:variant>
      <vt:variant>
        <vt:lpwstr>_30j0zll</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Mara Jane Cavalcante Chagas Pascoal</cp:lastModifiedBy>
  <cp:revision>54</cp:revision>
  <dcterms:created xsi:type="dcterms:W3CDTF">2025-04-16T07:34:00Z</dcterms:created>
  <dcterms:modified xsi:type="dcterms:W3CDTF">2025-04-24T13:31:00Z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0x01010062FF1DB93DCC6D428FCFFBDE556AD1A3</vt:lpwstr>
  </property>
  <property fmtid="{D5CDD505-2E9C-101B-9397-08002B2CF9AE}" pid="3" name="MediaServiceImageTags">
    <vt:lpwstr/>
  </property>
</Properties>
</file>